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F7" w:rsidRPr="00AC2E9D" w:rsidRDefault="001010F7" w:rsidP="001010F7">
      <w:pPr>
        <w:spacing w:before="100" w:beforeAutospacing="1" w:after="100" w:afterAutospacing="1" w:line="240" w:lineRule="auto"/>
        <w:jc w:val="center"/>
        <w:outlineLvl w:val="1"/>
        <w:rPr>
          <w:rFonts w:ascii="Arial" w:eastAsia="Times New Roman" w:hAnsi="Arial" w:cs="Arial"/>
          <w:b/>
          <w:bCs/>
          <w:sz w:val="32"/>
          <w:szCs w:val="32"/>
          <w:lang w:val="en" w:eastAsia="en-GB"/>
        </w:rPr>
      </w:pPr>
      <w:bookmarkStart w:id="0" w:name="_GoBack"/>
      <w:bookmarkEnd w:id="0"/>
      <w:r>
        <w:rPr>
          <w:rFonts w:ascii="Arial" w:eastAsia="Times New Roman" w:hAnsi="Arial" w:cs="Arial"/>
          <w:b/>
          <w:bCs/>
          <w:sz w:val="32"/>
          <w:szCs w:val="32"/>
          <w:lang w:val="en" w:eastAsia="en-GB"/>
        </w:rPr>
        <w:t>CHK</w:t>
      </w:r>
      <w:r w:rsidRPr="00AC2E9D">
        <w:rPr>
          <w:rFonts w:ascii="Arial" w:eastAsia="Times New Roman" w:hAnsi="Arial" w:cs="Arial"/>
          <w:b/>
          <w:bCs/>
          <w:sz w:val="32"/>
          <w:szCs w:val="32"/>
          <w:lang w:val="en" w:eastAsia="en-GB"/>
        </w:rPr>
        <w:t>2</w:t>
      </w:r>
      <w:r w:rsidR="006D5CA8">
        <w:rPr>
          <w:rFonts w:ascii="Arial" w:eastAsia="Times New Roman" w:hAnsi="Arial" w:cs="Arial"/>
          <w:b/>
          <w:bCs/>
          <w:sz w:val="32"/>
          <w:szCs w:val="32"/>
          <w:lang w:val="en" w:eastAsia="en-GB"/>
        </w:rPr>
        <w:t>93</w:t>
      </w:r>
      <w:r>
        <w:rPr>
          <w:rFonts w:ascii="Arial" w:eastAsia="Times New Roman" w:hAnsi="Arial" w:cs="Arial"/>
          <w:b/>
          <w:bCs/>
          <w:sz w:val="32"/>
          <w:szCs w:val="32"/>
          <w:lang w:val="en" w:eastAsia="en-GB"/>
        </w:rPr>
        <w:t>D</w:t>
      </w:r>
      <w:r w:rsidR="006D5CA8">
        <w:rPr>
          <w:rFonts w:ascii="Arial" w:eastAsia="Times New Roman" w:hAnsi="Arial" w:cs="Arial"/>
          <w:b/>
          <w:bCs/>
          <w:sz w:val="32"/>
          <w:szCs w:val="32"/>
          <w:lang w:val="en" w:eastAsia="en-GB"/>
        </w:rPr>
        <w:t>E</w:t>
      </w:r>
      <w:r w:rsidR="002F2A33">
        <w:rPr>
          <w:rFonts w:ascii="Arial" w:eastAsia="Times New Roman" w:hAnsi="Arial" w:cs="Arial"/>
          <w:b/>
          <w:bCs/>
          <w:sz w:val="32"/>
          <w:szCs w:val="32"/>
          <w:lang w:val="en" w:eastAsia="en-GB"/>
        </w:rPr>
        <w:t>L</w:t>
      </w:r>
      <w:r w:rsidRPr="00AC2E9D">
        <w:rPr>
          <w:rFonts w:ascii="Arial" w:eastAsia="Times New Roman" w:hAnsi="Arial" w:cs="Arial"/>
          <w:b/>
          <w:bCs/>
          <w:sz w:val="32"/>
          <w:szCs w:val="32"/>
          <w:lang w:val="en" w:eastAsia="en-GB"/>
        </w:rPr>
        <w:t>: Higher Intermediate English</w:t>
      </w:r>
      <w:r w:rsidR="006D5CA8">
        <w:rPr>
          <w:rFonts w:ascii="Arial" w:eastAsia="Times New Roman" w:hAnsi="Arial" w:cs="Arial"/>
          <w:b/>
          <w:bCs/>
          <w:sz w:val="32"/>
          <w:szCs w:val="32"/>
          <w:lang w:val="en" w:eastAsia="en-GB"/>
        </w:rPr>
        <w:t>: Academic Essay Writing</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613"/>
        <w:gridCol w:w="5503"/>
      </w:tblGrid>
      <w:tr w:rsidR="001010F7" w:rsidRPr="00AC2E9D" w:rsidTr="003F0AE6">
        <w:trPr>
          <w:tblCellSpacing w:w="15" w:type="dxa"/>
        </w:trPr>
        <w:tc>
          <w:tcPr>
            <w:tcW w:w="4140" w:type="dxa"/>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b/>
                <w:bCs/>
                <w:sz w:val="20"/>
                <w:szCs w:val="20"/>
                <w:lang w:eastAsia="en-GB"/>
              </w:rPr>
              <w:t>Module size</w:t>
            </w:r>
          </w:p>
        </w:tc>
        <w:tc>
          <w:tcPr>
            <w:tcW w:w="3000" w:type="dxa"/>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sz w:val="20"/>
                <w:szCs w:val="20"/>
                <w:lang w:eastAsia="en-GB"/>
              </w:rPr>
              <w:t>Half</w:t>
            </w:r>
          </w:p>
        </w:tc>
      </w:tr>
      <w:tr w:rsidR="001010F7" w:rsidRPr="00AC2E9D" w:rsidTr="003F0AE6">
        <w:trPr>
          <w:tblCellSpacing w:w="15" w:type="dxa"/>
        </w:trPr>
        <w:tc>
          <w:tcPr>
            <w:tcW w:w="4140" w:type="dxa"/>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b/>
                <w:bCs/>
                <w:sz w:val="20"/>
                <w:szCs w:val="20"/>
                <w:lang w:eastAsia="en-GB"/>
              </w:rPr>
              <w:t>Total student study hours</w:t>
            </w:r>
          </w:p>
        </w:tc>
        <w:tc>
          <w:tcPr>
            <w:tcW w:w="0" w:type="auto"/>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sz w:val="20"/>
                <w:szCs w:val="20"/>
                <w:lang w:eastAsia="en-GB"/>
              </w:rPr>
              <w:t>100</w:t>
            </w:r>
          </w:p>
        </w:tc>
      </w:tr>
      <w:tr w:rsidR="001010F7" w:rsidRPr="00AC2E9D" w:rsidTr="003F0AE6">
        <w:trPr>
          <w:tblCellSpacing w:w="15" w:type="dxa"/>
        </w:trPr>
        <w:tc>
          <w:tcPr>
            <w:tcW w:w="4140" w:type="dxa"/>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b/>
                <w:bCs/>
                <w:sz w:val="20"/>
                <w:szCs w:val="20"/>
                <w:lang w:eastAsia="en-GB"/>
              </w:rPr>
              <w:t>Pre-requisites and co-requisites</w:t>
            </w:r>
          </w:p>
        </w:tc>
        <w:tc>
          <w:tcPr>
            <w:tcW w:w="0" w:type="auto"/>
            <w:vAlign w:val="center"/>
          </w:tcPr>
          <w:p w:rsidR="001010F7" w:rsidRPr="006D5CA8" w:rsidRDefault="006D5CA8" w:rsidP="003F0AE6">
            <w:pPr>
              <w:spacing w:before="100" w:beforeAutospacing="1" w:after="100" w:afterAutospacing="1" w:line="240" w:lineRule="auto"/>
              <w:rPr>
                <w:rFonts w:ascii="Arial" w:eastAsia="Times New Roman" w:hAnsi="Arial" w:cs="Arial"/>
                <w:b/>
                <w:sz w:val="20"/>
                <w:szCs w:val="20"/>
                <w:lang w:eastAsia="en-GB"/>
              </w:rPr>
            </w:pPr>
            <w:r w:rsidRPr="006D5CA8">
              <w:rPr>
                <w:rStyle w:val="Strong"/>
                <w:rFonts w:ascii="Arial" w:hAnsi="Arial" w:cs="Arial"/>
                <w:b w:val="0"/>
                <w:color w:val="000000"/>
                <w:sz w:val="20"/>
                <w:szCs w:val="20"/>
                <w:shd w:val="clear" w:color="auto" w:fill="FFFFFF"/>
              </w:rPr>
              <w:t>Students must be non-native English speakers.  IELTS 6.0 or equivalent.</w:t>
            </w:r>
          </w:p>
        </w:tc>
      </w:tr>
      <w:tr w:rsidR="001010F7" w:rsidRPr="00AC2E9D" w:rsidTr="003F0AE6">
        <w:trPr>
          <w:tblCellSpacing w:w="15" w:type="dxa"/>
        </w:trPr>
        <w:tc>
          <w:tcPr>
            <w:tcW w:w="4140" w:type="dxa"/>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b/>
                <w:bCs/>
                <w:sz w:val="20"/>
                <w:szCs w:val="20"/>
                <w:lang w:eastAsia="en-GB"/>
              </w:rPr>
              <w:t>Excluded Combinations</w:t>
            </w:r>
          </w:p>
        </w:tc>
        <w:tc>
          <w:tcPr>
            <w:tcW w:w="0" w:type="auto"/>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sz w:val="20"/>
                <w:szCs w:val="20"/>
                <w:lang w:eastAsia="en-GB"/>
              </w:rPr>
              <w:t>None</w:t>
            </w:r>
          </w:p>
        </w:tc>
      </w:tr>
    </w:tbl>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Aims and Summary</w:t>
      </w:r>
    </w:p>
    <w:p w:rsidR="006D5CA8" w:rsidRPr="006D5CA8" w:rsidRDefault="006D5CA8" w:rsidP="006D5CA8">
      <w:pPr>
        <w:pStyle w:val="NormalWeb"/>
        <w:shd w:val="clear" w:color="auto" w:fill="FFFFFF"/>
        <w:spacing w:after="270" w:afterAutospacing="0"/>
        <w:ind w:left="480"/>
        <w:rPr>
          <w:rFonts w:ascii="Arial" w:hAnsi="Arial" w:cs="Arial"/>
          <w:color w:val="000000"/>
          <w:sz w:val="20"/>
          <w:szCs w:val="20"/>
        </w:rPr>
      </w:pPr>
      <w:r w:rsidRPr="006D5CA8">
        <w:rPr>
          <w:rFonts w:ascii="Arial" w:hAnsi="Arial" w:cs="Arial"/>
          <w:color w:val="000000"/>
          <w:sz w:val="20"/>
          <w:szCs w:val="20"/>
        </w:rPr>
        <w:t>The aim of this module is to encourage students to use the structures of language with ease and fluency and to develop these language skills to a point where they can function quite effectively and without significant problems in academic and professional contexts. They will develop their ability to recognise the different types of academic essay and the features of language typically used within these structures. Students will also be encouraged to extend their awareness of style and register, allowing them to further explore language use and meaning in context. (Ref: Common European Framework of Reference for Languages (CEFR) B2.</w:t>
      </w:r>
    </w:p>
    <w:p w:rsidR="006D5CA8" w:rsidRPr="006D5CA8" w:rsidRDefault="006D5CA8" w:rsidP="006D5CA8">
      <w:pPr>
        <w:pStyle w:val="NormalWeb"/>
        <w:shd w:val="clear" w:color="auto" w:fill="FFFFFF"/>
        <w:ind w:left="480"/>
        <w:rPr>
          <w:rFonts w:ascii="Arial" w:hAnsi="Arial" w:cs="Arial"/>
          <w:color w:val="000000"/>
          <w:sz w:val="20"/>
          <w:szCs w:val="20"/>
        </w:rPr>
      </w:pPr>
      <w:r w:rsidRPr="006D5CA8">
        <w:rPr>
          <w:rStyle w:val="Strong"/>
          <w:rFonts w:ascii="Arial" w:hAnsi="Arial" w:cs="Arial"/>
          <w:color w:val="000000"/>
          <w:sz w:val="20"/>
          <w:szCs w:val="20"/>
        </w:rPr>
        <w:t>Native speakers of English are excluded from this module.</w:t>
      </w:r>
    </w:p>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Intended Module Learning Outcomes</w:t>
      </w:r>
    </w:p>
    <w:p w:rsidR="006D5CA8" w:rsidRPr="006D5CA8" w:rsidRDefault="006D5CA8" w:rsidP="006D5CA8">
      <w:pPr>
        <w:pStyle w:val="NormalWeb"/>
        <w:shd w:val="clear" w:color="auto" w:fill="FFFFFF"/>
        <w:ind w:left="480"/>
        <w:rPr>
          <w:rFonts w:ascii="Arial" w:hAnsi="Arial" w:cs="Arial"/>
          <w:color w:val="000000"/>
          <w:sz w:val="20"/>
          <w:szCs w:val="20"/>
        </w:rPr>
      </w:pPr>
      <w:r w:rsidRPr="006D5CA8">
        <w:rPr>
          <w:rFonts w:ascii="Arial" w:hAnsi="Arial" w:cs="Arial"/>
          <w:color w:val="000000"/>
          <w:sz w:val="20"/>
          <w:szCs w:val="20"/>
        </w:rPr>
        <w:t>On completion of this module the student should be able to: </w:t>
      </w:r>
    </w:p>
    <w:p w:rsidR="006D5CA8" w:rsidRPr="006D5CA8" w:rsidRDefault="006D5CA8" w:rsidP="006D5CA8">
      <w:pPr>
        <w:pStyle w:val="NormalWeb"/>
        <w:shd w:val="clear" w:color="auto" w:fill="FFFFFF"/>
        <w:ind w:left="480"/>
        <w:rPr>
          <w:rFonts w:ascii="Arial" w:hAnsi="Arial" w:cs="Arial"/>
          <w:color w:val="000000"/>
          <w:sz w:val="20"/>
          <w:szCs w:val="20"/>
        </w:rPr>
      </w:pPr>
      <w:r w:rsidRPr="006D5CA8">
        <w:rPr>
          <w:rFonts w:ascii="Arial" w:hAnsi="Arial" w:cs="Arial"/>
          <w:color w:val="000000"/>
          <w:sz w:val="20"/>
          <w:szCs w:val="20"/>
        </w:rPr>
        <w:t>1. Demonstrate an understanding of common features of academic writing in accordance with the conventions of UK Higher Education.</w:t>
      </w:r>
    </w:p>
    <w:p w:rsidR="006D5CA8" w:rsidRPr="006D5CA8" w:rsidRDefault="006D5CA8" w:rsidP="006D5CA8">
      <w:pPr>
        <w:pStyle w:val="NormalWeb"/>
        <w:shd w:val="clear" w:color="auto" w:fill="FFFFFF"/>
        <w:ind w:left="480"/>
        <w:rPr>
          <w:rFonts w:ascii="Arial" w:hAnsi="Arial" w:cs="Arial"/>
          <w:color w:val="000000"/>
          <w:sz w:val="20"/>
          <w:szCs w:val="20"/>
        </w:rPr>
      </w:pPr>
      <w:r w:rsidRPr="006D5CA8">
        <w:rPr>
          <w:rFonts w:ascii="Arial" w:hAnsi="Arial" w:cs="Arial"/>
          <w:color w:val="000000"/>
          <w:sz w:val="20"/>
          <w:szCs w:val="20"/>
        </w:rPr>
        <w:t>2. Demonstrate the ability to write a general academic essay in accordance with the conventions of UK Higher Education.</w:t>
      </w:r>
      <w:r w:rsidRPr="006D5CA8">
        <w:rPr>
          <w:rStyle w:val="apple-converted-space"/>
          <w:rFonts w:ascii="Arial" w:hAnsi="Arial" w:cs="Arial"/>
          <w:color w:val="000000"/>
          <w:sz w:val="20"/>
          <w:szCs w:val="20"/>
        </w:rPr>
        <w:t> </w:t>
      </w:r>
    </w:p>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Indicative Content</w:t>
      </w:r>
    </w:p>
    <w:p w:rsidR="006D5CA8" w:rsidRPr="006D5CA8" w:rsidRDefault="006D5CA8" w:rsidP="006D5CA8">
      <w:pPr>
        <w:shd w:val="clear" w:color="auto" w:fill="FFFFFF"/>
        <w:spacing w:before="100" w:beforeAutospacing="1" w:after="100" w:afterAutospacing="1" w:line="240" w:lineRule="auto"/>
        <w:ind w:left="480"/>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The following topics will be normally covered (although there might be slight variations from year to year):</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The genre of academic discourse</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Language used for descriptive purposes  </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Language used for evaluative purposes</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Thematic construction of paragraph and text</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Discourse and semantic markers in academic writing</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The language of comparison and contrast / reason and result</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Language used to persuade and influence opinion</w:t>
      </w:r>
    </w:p>
    <w:p w:rsidR="006D5CA8" w:rsidRPr="006D5CA8" w:rsidRDefault="006D5CA8" w:rsidP="006D5CA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The construction of a balanced argument</w:t>
      </w:r>
    </w:p>
    <w:p w:rsidR="006D5CA8" w:rsidRPr="006D5CA8" w:rsidRDefault="006D5CA8" w:rsidP="006D5CA8">
      <w:pPr>
        <w:shd w:val="clear" w:color="auto" w:fill="FFFFFF"/>
        <w:spacing w:before="100" w:beforeAutospacing="1" w:after="100" w:afterAutospacing="1" w:line="240" w:lineRule="auto"/>
        <w:ind w:left="480"/>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In this module you will have the opportunity to reflect upon how the module content supports and enhances employability/career development.</w:t>
      </w:r>
    </w:p>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Teaching and Learning</w:t>
      </w:r>
    </w:p>
    <w:p w:rsidR="006D5CA8" w:rsidRPr="006D5CA8" w:rsidRDefault="006D5CA8" w:rsidP="006D5CA8">
      <w:pPr>
        <w:spacing w:before="100" w:beforeAutospacing="1" w:after="270" w:line="240" w:lineRule="auto"/>
        <w:ind w:left="960"/>
        <w:rPr>
          <w:rFonts w:ascii="Times New Roman" w:eastAsia="Times New Roman" w:hAnsi="Times New Roman" w:cs="Times New Roman"/>
          <w:sz w:val="24"/>
          <w:szCs w:val="24"/>
          <w:lang w:eastAsia="en-GB"/>
        </w:rPr>
      </w:pPr>
      <w:r w:rsidRPr="006D5CA8">
        <w:rPr>
          <w:rFonts w:ascii="Arial" w:eastAsia="Times New Roman" w:hAnsi="Arial" w:cs="Arial"/>
          <w:color w:val="000000"/>
          <w:sz w:val="20"/>
          <w:szCs w:val="20"/>
          <w:lang w:eastAsia="en-GB"/>
        </w:rPr>
        <w:t xml:space="preserve">The basic method of teaching will be an interactive class or workshop. Between sessions students will be expected to work on preparation or consolidation tasks. The teacher’s role is to provide linguistic input and to facilitate and guide students’ own learning. Constructive </w:t>
      </w:r>
      <w:r w:rsidRPr="006D5CA8">
        <w:rPr>
          <w:rFonts w:ascii="Arial" w:eastAsia="Times New Roman" w:hAnsi="Arial" w:cs="Arial"/>
          <w:color w:val="000000"/>
          <w:sz w:val="20"/>
          <w:szCs w:val="20"/>
          <w:lang w:eastAsia="en-GB"/>
        </w:rPr>
        <w:lastRenderedPageBreak/>
        <w:t>feedback on student output is an important feature of this module.</w:t>
      </w:r>
      <w:r w:rsidRPr="006D5CA8">
        <w:rPr>
          <w:rFonts w:ascii="Arial" w:eastAsia="Times New Roman" w:hAnsi="Arial" w:cs="Arial"/>
          <w:color w:val="000000"/>
          <w:sz w:val="20"/>
          <w:szCs w:val="20"/>
          <w:lang w:eastAsia="en-GB"/>
        </w:rPr>
        <w:br/>
      </w:r>
    </w:p>
    <w:p w:rsidR="006D5CA8" w:rsidRPr="006D5CA8" w:rsidRDefault="006D5CA8" w:rsidP="006D5CA8">
      <w:pPr>
        <w:spacing w:after="0" w:line="240" w:lineRule="auto"/>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Student activity and time spent on each activity comprises: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9"/>
        <w:gridCol w:w="1136"/>
      </w:tblGrid>
      <w:tr w:rsidR="003B6B5B" w:rsidRPr="00DD1889" w:rsidTr="001D56EB">
        <w:trPr>
          <w:trHeight w:val="432"/>
          <w:tblCellSpacing w:w="15" w:type="dxa"/>
        </w:trPr>
        <w:tc>
          <w:tcPr>
            <w:tcW w:w="0" w:type="auto"/>
            <w:tcMar>
              <w:top w:w="15" w:type="dxa"/>
              <w:left w:w="480" w:type="dxa"/>
              <w:bottom w:w="15" w:type="dxa"/>
              <w:right w:w="240" w:type="dxa"/>
            </w:tcMar>
            <w:vAlign w:val="center"/>
            <w:hideMark/>
          </w:tcPr>
          <w:p w:rsidR="003B6B5B" w:rsidRPr="00DD1889" w:rsidRDefault="003B6B5B" w:rsidP="001D56EB">
            <w:pPr>
              <w:ind w:left="990"/>
              <w:rPr>
                <w:rFonts w:ascii="Arial" w:hAnsi="Arial" w:cs="Arial"/>
                <w:b/>
                <w:bCs/>
                <w:sz w:val="20"/>
                <w:szCs w:val="20"/>
              </w:rPr>
            </w:pPr>
            <w:r>
              <w:rPr>
                <w:rFonts w:ascii="Arial" w:hAnsi="Arial" w:cs="Arial"/>
                <w:b/>
                <w:bCs/>
                <w:sz w:val="20"/>
                <w:szCs w:val="20"/>
              </w:rPr>
              <w:t>Contact Hours</w:t>
            </w:r>
          </w:p>
        </w:tc>
        <w:tc>
          <w:tcPr>
            <w:tcW w:w="0" w:type="auto"/>
            <w:vAlign w:val="center"/>
            <w:hideMark/>
          </w:tcPr>
          <w:p w:rsidR="003B6B5B" w:rsidRPr="00DD1889" w:rsidRDefault="003B6B5B" w:rsidP="001D56EB">
            <w:pPr>
              <w:ind w:left="171"/>
              <w:rPr>
                <w:rFonts w:ascii="Arial" w:hAnsi="Arial" w:cs="Arial"/>
                <w:sz w:val="20"/>
                <w:szCs w:val="20"/>
              </w:rPr>
            </w:pPr>
            <w:r>
              <w:rPr>
                <w:rFonts w:ascii="Arial" w:hAnsi="Arial" w:cs="Arial"/>
                <w:sz w:val="20"/>
                <w:szCs w:val="20"/>
              </w:rPr>
              <w:t>2</w:t>
            </w:r>
            <w:r w:rsidRPr="00DD1889">
              <w:rPr>
                <w:rFonts w:ascii="Arial" w:hAnsi="Arial" w:cs="Arial"/>
                <w:sz w:val="20"/>
                <w:szCs w:val="20"/>
              </w:rPr>
              <w:t>4 hours</w:t>
            </w:r>
          </w:p>
        </w:tc>
      </w:tr>
      <w:tr w:rsidR="003B6B5B" w:rsidRPr="00DD1889" w:rsidTr="001D56EB">
        <w:trPr>
          <w:trHeight w:val="432"/>
          <w:tblCellSpacing w:w="15" w:type="dxa"/>
        </w:trPr>
        <w:tc>
          <w:tcPr>
            <w:tcW w:w="0" w:type="auto"/>
            <w:tcMar>
              <w:top w:w="15" w:type="dxa"/>
              <w:left w:w="480" w:type="dxa"/>
              <w:bottom w:w="15" w:type="dxa"/>
              <w:right w:w="240" w:type="dxa"/>
            </w:tcMar>
            <w:vAlign w:val="center"/>
            <w:hideMark/>
          </w:tcPr>
          <w:p w:rsidR="003B6B5B" w:rsidRPr="00DD1889" w:rsidRDefault="003B6B5B" w:rsidP="001D56EB">
            <w:pPr>
              <w:ind w:left="990"/>
              <w:rPr>
                <w:rFonts w:ascii="Arial" w:hAnsi="Arial" w:cs="Arial"/>
                <w:b/>
                <w:bCs/>
                <w:sz w:val="20"/>
                <w:szCs w:val="20"/>
              </w:rPr>
            </w:pPr>
            <w:r>
              <w:rPr>
                <w:rFonts w:ascii="Arial" w:hAnsi="Arial" w:cs="Arial"/>
                <w:b/>
                <w:bCs/>
                <w:sz w:val="20"/>
                <w:szCs w:val="20"/>
              </w:rPr>
              <w:t>Non-Contact Hours</w:t>
            </w:r>
          </w:p>
        </w:tc>
        <w:tc>
          <w:tcPr>
            <w:tcW w:w="0" w:type="auto"/>
            <w:vAlign w:val="center"/>
            <w:hideMark/>
          </w:tcPr>
          <w:p w:rsidR="003B6B5B" w:rsidRPr="00DD1889" w:rsidRDefault="003B6B5B" w:rsidP="001D56EB">
            <w:pPr>
              <w:ind w:left="171"/>
              <w:rPr>
                <w:rFonts w:ascii="Arial" w:hAnsi="Arial" w:cs="Arial"/>
                <w:sz w:val="20"/>
                <w:szCs w:val="20"/>
              </w:rPr>
            </w:pPr>
            <w:r>
              <w:rPr>
                <w:rFonts w:ascii="Arial" w:hAnsi="Arial" w:cs="Arial"/>
                <w:sz w:val="20"/>
                <w:szCs w:val="20"/>
              </w:rPr>
              <w:t>76</w:t>
            </w:r>
            <w:r w:rsidRPr="00DD1889">
              <w:rPr>
                <w:rFonts w:ascii="Arial" w:hAnsi="Arial" w:cs="Arial"/>
                <w:sz w:val="20"/>
                <w:szCs w:val="20"/>
              </w:rPr>
              <w:t xml:space="preserve"> hours</w:t>
            </w:r>
          </w:p>
        </w:tc>
      </w:tr>
      <w:tr w:rsidR="003B6B5B" w:rsidRPr="00DD1889" w:rsidTr="001D56EB">
        <w:trPr>
          <w:trHeight w:val="432"/>
          <w:tblCellSpacing w:w="15" w:type="dxa"/>
        </w:trPr>
        <w:tc>
          <w:tcPr>
            <w:tcW w:w="0" w:type="auto"/>
            <w:tcMar>
              <w:top w:w="15" w:type="dxa"/>
              <w:left w:w="480" w:type="dxa"/>
              <w:bottom w:w="15" w:type="dxa"/>
              <w:right w:w="240" w:type="dxa"/>
            </w:tcMar>
            <w:vAlign w:val="center"/>
            <w:hideMark/>
          </w:tcPr>
          <w:p w:rsidR="003B6B5B" w:rsidRPr="00DD1889" w:rsidRDefault="003B6B5B" w:rsidP="001D56EB">
            <w:pPr>
              <w:ind w:left="990"/>
              <w:rPr>
                <w:rFonts w:ascii="Arial" w:hAnsi="Arial" w:cs="Arial"/>
                <w:b/>
                <w:bCs/>
                <w:sz w:val="20"/>
                <w:szCs w:val="20"/>
              </w:rPr>
            </w:pPr>
            <w:r>
              <w:rPr>
                <w:rFonts w:ascii="Arial" w:hAnsi="Arial" w:cs="Arial"/>
                <w:b/>
                <w:bCs/>
                <w:sz w:val="20"/>
                <w:szCs w:val="20"/>
              </w:rPr>
              <w:t>Notional Learning Hours</w:t>
            </w:r>
          </w:p>
        </w:tc>
        <w:tc>
          <w:tcPr>
            <w:tcW w:w="0" w:type="auto"/>
            <w:vAlign w:val="center"/>
            <w:hideMark/>
          </w:tcPr>
          <w:p w:rsidR="003B6B5B" w:rsidRPr="00DD1889" w:rsidRDefault="003B6B5B" w:rsidP="001D56EB">
            <w:pPr>
              <w:ind w:left="171"/>
              <w:rPr>
                <w:rFonts w:ascii="Arial" w:hAnsi="Arial" w:cs="Arial"/>
                <w:sz w:val="20"/>
                <w:szCs w:val="20"/>
              </w:rPr>
            </w:pPr>
            <w:r>
              <w:rPr>
                <w:rFonts w:ascii="Arial" w:hAnsi="Arial" w:cs="Arial"/>
                <w:sz w:val="20"/>
                <w:szCs w:val="20"/>
              </w:rPr>
              <w:t>100</w:t>
            </w:r>
            <w:r w:rsidRPr="00DD1889">
              <w:rPr>
                <w:rFonts w:ascii="Arial" w:hAnsi="Arial" w:cs="Arial"/>
                <w:sz w:val="20"/>
                <w:szCs w:val="20"/>
              </w:rPr>
              <w:t xml:space="preserve"> hours</w:t>
            </w:r>
          </w:p>
        </w:tc>
      </w:tr>
    </w:tbl>
    <w:p w:rsidR="001010F7" w:rsidRPr="00AC2E9D" w:rsidRDefault="001010F7" w:rsidP="001010F7">
      <w:pPr>
        <w:spacing w:before="100" w:beforeAutospacing="1" w:after="100" w:afterAutospacing="1" w:line="240" w:lineRule="auto"/>
        <w:ind w:right="-694"/>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Method of Assessment (normally assessed as follows)</w:t>
      </w:r>
    </w:p>
    <w:p w:rsidR="006D5CA8" w:rsidRPr="006D5CA8" w:rsidRDefault="006D5CA8" w:rsidP="006D5CA8">
      <w:pPr>
        <w:shd w:val="clear" w:color="auto" w:fill="FFFFFF"/>
        <w:spacing w:before="100" w:beforeAutospacing="1" w:after="100" w:afterAutospacing="1" w:line="240" w:lineRule="auto"/>
        <w:ind w:left="480"/>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The intended learning outcomes will be assessed as follows: </w:t>
      </w:r>
    </w:p>
    <w:p w:rsidR="006D5CA8" w:rsidRPr="006D5CA8" w:rsidRDefault="006D5CA8" w:rsidP="006D5CA8">
      <w:pPr>
        <w:shd w:val="clear" w:color="auto" w:fill="FFFFFF"/>
        <w:spacing w:before="100" w:beforeAutospacing="1" w:after="100" w:afterAutospacing="1" w:line="240" w:lineRule="auto"/>
        <w:ind w:left="480"/>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 xml:space="preserve">Coursework 1: In- Class test (40%) will </w:t>
      </w:r>
      <w:proofErr w:type="spellStart"/>
      <w:r w:rsidRPr="006D5CA8">
        <w:rPr>
          <w:rFonts w:ascii="Arial" w:eastAsia="Times New Roman" w:hAnsi="Arial" w:cs="Arial"/>
          <w:color w:val="000000"/>
          <w:sz w:val="20"/>
          <w:szCs w:val="20"/>
          <w:lang w:eastAsia="en-GB"/>
        </w:rPr>
        <w:t>summatively</w:t>
      </w:r>
      <w:proofErr w:type="spellEnd"/>
      <w:r w:rsidRPr="006D5CA8">
        <w:rPr>
          <w:rFonts w:ascii="Arial" w:eastAsia="Times New Roman" w:hAnsi="Arial" w:cs="Arial"/>
          <w:color w:val="000000"/>
          <w:sz w:val="20"/>
          <w:szCs w:val="20"/>
          <w:lang w:eastAsia="en-GB"/>
        </w:rPr>
        <w:t xml:space="preserve"> assess intended learning outcome </w:t>
      </w:r>
      <w:r w:rsidR="002D6AE9" w:rsidRPr="006D5CA8">
        <w:rPr>
          <w:rFonts w:ascii="Arial" w:eastAsia="Times New Roman" w:hAnsi="Arial" w:cs="Arial"/>
          <w:color w:val="000000"/>
          <w:sz w:val="20"/>
          <w:szCs w:val="20"/>
          <w:lang w:eastAsia="en-GB"/>
        </w:rPr>
        <w:t>1.</w:t>
      </w:r>
    </w:p>
    <w:p w:rsidR="006D5CA8" w:rsidRPr="006D5CA8" w:rsidRDefault="006D5CA8" w:rsidP="006D5CA8">
      <w:pPr>
        <w:shd w:val="clear" w:color="auto" w:fill="FFFFFF"/>
        <w:spacing w:before="100" w:beforeAutospacing="1" w:after="100" w:afterAutospacing="1" w:line="240" w:lineRule="auto"/>
        <w:ind w:left="480"/>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Coursework 2: Essay submission of 1000 words</w:t>
      </w:r>
      <w:proofErr w:type="gramStart"/>
      <w:r w:rsidRPr="006D5CA8">
        <w:rPr>
          <w:rFonts w:ascii="Arial" w:eastAsia="Times New Roman" w:hAnsi="Arial" w:cs="Arial"/>
          <w:color w:val="000000"/>
          <w:sz w:val="20"/>
          <w:szCs w:val="20"/>
          <w:lang w:eastAsia="en-GB"/>
        </w:rPr>
        <w:t>  (</w:t>
      </w:r>
      <w:proofErr w:type="gramEnd"/>
      <w:r w:rsidRPr="006D5CA8">
        <w:rPr>
          <w:rFonts w:ascii="Arial" w:eastAsia="Times New Roman" w:hAnsi="Arial" w:cs="Arial"/>
          <w:color w:val="000000"/>
          <w:sz w:val="20"/>
          <w:szCs w:val="20"/>
          <w:lang w:eastAsia="en-GB"/>
        </w:rPr>
        <w:t xml:space="preserve">60%) will </w:t>
      </w:r>
      <w:proofErr w:type="spellStart"/>
      <w:r w:rsidRPr="006D5CA8">
        <w:rPr>
          <w:rFonts w:ascii="Arial" w:eastAsia="Times New Roman" w:hAnsi="Arial" w:cs="Arial"/>
          <w:color w:val="000000"/>
          <w:sz w:val="20"/>
          <w:szCs w:val="20"/>
          <w:lang w:eastAsia="en-GB"/>
        </w:rPr>
        <w:t>summatively</w:t>
      </w:r>
      <w:proofErr w:type="spellEnd"/>
      <w:r w:rsidRPr="006D5CA8">
        <w:rPr>
          <w:rFonts w:ascii="Arial" w:eastAsia="Times New Roman" w:hAnsi="Arial" w:cs="Arial"/>
          <w:color w:val="000000"/>
          <w:sz w:val="20"/>
          <w:szCs w:val="20"/>
          <w:lang w:eastAsia="en-GB"/>
        </w:rPr>
        <w:t xml:space="preserve"> assess intended learning outcomes 1and 2.</w:t>
      </w:r>
    </w:p>
    <w:p w:rsidR="006D5CA8" w:rsidRPr="006D5CA8" w:rsidRDefault="006D5CA8" w:rsidP="006D5CA8">
      <w:pPr>
        <w:shd w:val="clear" w:color="auto" w:fill="FFFFFF"/>
        <w:spacing w:before="100" w:beforeAutospacing="1" w:after="100" w:afterAutospacing="1" w:line="240" w:lineRule="auto"/>
        <w:ind w:left="480"/>
        <w:rPr>
          <w:rFonts w:ascii="Arial" w:eastAsia="Times New Roman" w:hAnsi="Arial" w:cs="Arial"/>
          <w:color w:val="000000"/>
          <w:sz w:val="20"/>
          <w:szCs w:val="20"/>
          <w:lang w:eastAsia="en-GB"/>
        </w:rPr>
      </w:pPr>
      <w:r w:rsidRPr="006D5CA8">
        <w:rPr>
          <w:rFonts w:ascii="Arial" w:eastAsia="Times New Roman" w:hAnsi="Arial" w:cs="Arial"/>
          <w:color w:val="000000"/>
          <w:sz w:val="20"/>
          <w:szCs w:val="20"/>
          <w:lang w:eastAsia="en-GB"/>
        </w:rPr>
        <w:t>Re-assessment: coursework component(s) as appropriate.</w:t>
      </w:r>
    </w:p>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Assessment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745"/>
        <w:gridCol w:w="5651"/>
      </w:tblGrid>
      <w:tr w:rsidR="001010F7" w:rsidRPr="00AC2E9D" w:rsidTr="003F0AE6">
        <w:trPr>
          <w:tblCellSpacing w:w="15" w:type="dxa"/>
        </w:trPr>
        <w:tc>
          <w:tcPr>
            <w:tcW w:w="2700" w:type="dxa"/>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sz w:val="20"/>
                <w:szCs w:val="20"/>
                <w:lang w:eastAsia="en-GB"/>
              </w:rPr>
              <w:t>Composition of module mark:</w:t>
            </w:r>
          </w:p>
        </w:tc>
        <w:tc>
          <w:tcPr>
            <w:tcW w:w="5606" w:type="dxa"/>
            <w:vAlign w:val="center"/>
          </w:tcPr>
          <w:p w:rsidR="001010F7" w:rsidRPr="002D6AE9" w:rsidRDefault="002D6AE9" w:rsidP="003F0AE6">
            <w:pPr>
              <w:spacing w:after="0" w:line="240" w:lineRule="auto"/>
              <w:rPr>
                <w:rFonts w:ascii="Arial" w:eastAsia="Times New Roman" w:hAnsi="Arial" w:cs="Arial"/>
                <w:sz w:val="20"/>
                <w:szCs w:val="20"/>
                <w:lang w:eastAsia="en-GB"/>
              </w:rPr>
            </w:pPr>
            <w:r w:rsidRPr="002D6AE9">
              <w:rPr>
                <w:rFonts w:ascii="Arial" w:hAnsi="Arial" w:cs="Arial"/>
                <w:color w:val="000000"/>
                <w:sz w:val="20"/>
                <w:szCs w:val="20"/>
                <w:shd w:val="clear" w:color="auto" w:fill="FFFFFF"/>
              </w:rPr>
              <w:t>40% Coursework 1 and 60% Coursework 2</w:t>
            </w:r>
          </w:p>
        </w:tc>
      </w:tr>
      <w:tr w:rsidR="001010F7" w:rsidRPr="00AC2E9D" w:rsidTr="003F0AE6">
        <w:trPr>
          <w:tblCellSpacing w:w="15" w:type="dxa"/>
        </w:trPr>
        <w:tc>
          <w:tcPr>
            <w:tcW w:w="2700" w:type="dxa"/>
            <w:vAlign w:val="center"/>
          </w:tcPr>
          <w:p w:rsidR="001010F7" w:rsidRPr="00AC2E9D" w:rsidRDefault="001010F7" w:rsidP="003F0AE6">
            <w:pPr>
              <w:spacing w:after="0" w:line="240" w:lineRule="auto"/>
              <w:rPr>
                <w:rFonts w:ascii="Arial" w:eastAsia="Times New Roman" w:hAnsi="Arial" w:cs="Arial"/>
                <w:sz w:val="20"/>
                <w:szCs w:val="20"/>
                <w:lang w:eastAsia="en-GB"/>
              </w:rPr>
            </w:pPr>
            <w:r w:rsidRPr="00AC2E9D">
              <w:rPr>
                <w:rFonts w:ascii="Arial" w:eastAsia="Times New Roman" w:hAnsi="Arial" w:cs="Arial"/>
                <w:sz w:val="20"/>
                <w:szCs w:val="20"/>
                <w:lang w:eastAsia="en-GB"/>
              </w:rPr>
              <w:t>Pass requirements:</w:t>
            </w:r>
          </w:p>
        </w:tc>
        <w:tc>
          <w:tcPr>
            <w:tcW w:w="5606" w:type="dxa"/>
            <w:vAlign w:val="center"/>
          </w:tcPr>
          <w:p w:rsidR="001010F7" w:rsidRPr="002D6AE9" w:rsidRDefault="002D6AE9" w:rsidP="003F0AE6">
            <w:pPr>
              <w:spacing w:after="0" w:line="240" w:lineRule="auto"/>
              <w:rPr>
                <w:rFonts w:ascii="Arial" w:eastAsia="Times New Roman" w:hAnsi="Arial" w:cs="Arial"/>
                <w:sz w:val="20"/>
                <w:szCs w:val="20"/>
                <w:lang w:eastAsia="en-GB"/>
              </w:rPr>
            </w:pPr>
            <w:r w:rsidRPr="002D6AE9">
              <w:rPr>
                <w:rFonts w:ascii="Arial" w:hAnsi="Arial" w:cs="Arial"/>
                <w:color w:val="000000"/>
                <w:sz w:val="20"/>
                <w:szCs w:val="20"/>
                <w:shd w:val="clear" w:color="auto" w:fill="FFFFFF"/>
              </w:rPr>
              <w:t>Coursework 1 must be at least 35% and Coursework 2 must be at least 35% and Module Mark must be at least 40%</w:t>
            </w:r>
          </w:p>
        </w:tc>
      </w:tr>
    </w:tbl>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 xml:space="preserve">Essential </w:t>
      </w:r>
      <w:smartTag w:uri="urn:schemas-microsoft-com:office:smarttags" w:element="place">
        <w:smartTag w:uri="urn:schemas-microsoft-com:office:smarttags" w:element="City">
          <w:r w:rsidRPr="00AC2E9D">
            <w:rPr>
              <w:rFonts w:ascii="Arial" w:eastAsia="Times New Roman" w:hAnsi="Arial" w:cs="Arial"/>
              <w:b/>
              <w:bCs/>
              <w:color w:val="000000"/>
              <w:sz w:val="24"/>
              <w:szCs w:val="24"/>
              <w:lang w:val="en" w:eastAsia="en-GB"/>
            </w:rPr>
            <w:t>Reading</w:t>
          </w:r>
        </w:smartTag>
      </w:smartTag>
    </w:p>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Recommended Reading</w:t>
      </w:r>
    </w:p>
    <w:p w:rsidR="001010F7" w:rsidRPr="00AC2E9D" w:rsidRDefault="001010F7" w:rsidP="001010F7">
      <w:pPr>
        <w:spacing w:before="100" w:beforeAutospacing="1" w:after="100" w:afterAutospacing="1" w:line="240" w:lineRule="auto"/>
        <w:outlineLvl w:val="3"/>
        <w:rPr>
          <w:rFonts w:ascii="Arial" w:eastAsia="Times New Roman" w:hAnsi="Arial" w:cs="Arial"/>
          <w:b/>
          <w:bCs/>
          <w:color w:val="000000"/>
          <w:sz w:val="24"/>
          <w:szCs w:val="24"/>
          <w:lang w:val="en" w:eastAsia="en-GB"/>
        </w:rPr>
      </w:pPr>
      <w:r w:rsidRPr="00AC2E9D">
        <w:rPr>
          <w:rFonts w:ascii="Arial" w:eastAsia="Times New Roman" w:hAnsi="Arial" w:cs="Arial"/>
          <w:b/>
          <w:bCs/>
          <w:color w:val="000000"/>
          <w:sz w:val="24"/>
          <w:szCs w:val="24"/>
          <w:lang w:val="en" w:eastAsia="en-GB"/>
        </w:rPr>
        <w:t>Required Equipment</w:t>
      </w:r>
    </w:p>
    <w:p w:rsidR="001010F7" w:rsidRPr="00AC2E9D" w:rsidRDefault="001010F7" w:rsidP="001010F7">
      <w:pPr>
        <w:spacing w:before="100" w:beforeAutospacing="1" w:after="100" w:afterAutospacing="1" w:line="240" w:lineRule="auto"/>
        <w:rPr>
          <w:rFonts w:ascii="Arial" w:eastAsia="Times New Roman" w:hAnsi="Arial" w:cs="Arial"/>
          <w:sz w:val="24"/>
          <w:szCs w:val="24"/>
          <w:lang w:val="en" w:eastAsia="en-GB"/>
        </w:rPr>
      </w:pPr>
      <w:r w:rsidRPr="00AC2E9D">
        <w:rPr>
          <w:rFonts w:ascii="Arial" w:eastAsia="Times New Roman" w:hAnsi="Arial" w:cs="Arial"/>
          <w:sz w:val="20"/>
          <w:szCs w:val="20"/>
          <w:lang w:eastAsia="en-GB"/>
        </w:rPr>
        <w:t>None</w:t>
      </w:r>
    </w:p>
    <w:p w:rsidR="001010F7" w:rsidRDefault="001010F7" w:rsidP="001010F7"/>
    <w:p w:rsidR="00B924BE" w:rsidRPr="00CD448E" w:rsidRDefault="00B924BE" w:rsidP="00B924BE">
      <w:pPr>
        <w:pStyle w:val="NormalWeb"/>
        <w:jc w:val="center"/>
        <w:rPr>
          <w:sz w:val="20"/>
          <w:szCs w:val="20"/>
        </w:rPr>
      </w:pPr>
      <w:r w:rsidRPr="00CD448E">
        <w:rPr>
          <w:b/>
          <w:bCs/>
          <w:color w:val="000000"/>
        </w:rPr>
        <w:t>Approved by FCPC on 17/02/2017</w:t>
      </w:r>
    </w:p>
    <w:p w:rsidR="003173DE" w:rsidRPr="001010F7" w:rsidRDefault="003173DE" w:rsidP="001010F7"/>
    <w:sectPr w:rsidR="003173DE" w:rsidRPr="001010F7"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64C2"/>
    <w:multiLevelType w:val="hybridMultilevel"/>
    <w:tmpl w:val="5EC41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382316"/>
    <w:multiLevelType w:val="multilevel"/>
    <w:tmpl w:val="833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83930"/>
    <w:multiLevelType w:val="hybridMultilevel"/>
    <w:tmpl w:val="70829B28"/>
    <w:lvl w:ilvl="0" w:tplc="DB04B558">
      <w:start w:val="1"/>
      <w:numFmt w:val="decimal"/>
      <w:lvlText w:val="%1."/>
      <w:lvlJc w:val="left"/>
      <w:pPr>
        <w:tabs>
          <w:tab w:val="num" w:pos="720"/>
        </w:tabs>
        <w:ind w:left="720" w:hanging="360"/>
      </w:pPr>
      <w:rPr>
        <w:rFonts w:eastAsia="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85"/>
    <w:rsid w:val="001010F7"/>
    <w:rsid w:val="002D6AE9"/>
    <w:rsid w:val="002F2A33"/>
    <w:rsid w:val="003173DE"/>
    <w:rsid w:val="003B6B5B"/>
    <w:rsid w:val="006D5CA8"/>
    <w:rsid w:val="00B924BE"/>
    <w:rsid w:val="00B93C85"/>
    <w:rsid w:val="00C861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49BE5EDA-4AAE-4160-AE0E-03157F1E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5CA8"/>
    <w:rPr>
      <w:b/>
      <w:bCs/>
    </w:rPr>
  </w:style>
  <w:style w:type="paragraph" w:styleId="NormalWeb">
    <w:name w:val="Normal (Web)"/>
    <w:basedOn w:val="Normal"/>
    <w:uiPriority w:val="99"/>
    <w:unhideWhenUsed/>
    <w:rsid w:val="006D5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D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7022">
      <w:bodyDiv w:val="1"/>
      <w:marLeft w:val="0"/>
      <w:marRight w:val="0"/>
      <w:marTop w:val="0"/>
      <w:marBottom w:val="0"/>
      <w:divBdr>
        <w:top w:val="none" w:sz="0" w:space="0" w:color="auto"/>
        <w:left w:val="none" w:sz="0" w:space="0" w:color="auto"/>
        <w:bottom w:val="none" w:sz="0" w:space="0" w:color="auto"/>
        <w:right w:val="none" w:sz="0" w:space="0" w:color="auto"/>
      </w:divBdr>
    </w:div>
    <w:div w:id="699551959">
      <w:bodyDiv w:val="1"/>
      <w:marLeft w:val="0"/>
      <w:marRight w:val="0"/>
      <w:marTop w:val="0"/>
      <w:marBottom w:val="0"/>
      <w:divBdr>
        <w:top w:val="none" w:sz="0" w:space="0" w:color="auto"/>
        <w:left w:val="none" w:sz="0" w:space="0" w:color="auto"/>
        <w:bottom w:val="none" w:sz="0" w:space="0" w:color="auto"/>
        <w:right w:val="none" w:sz="0" w:space="0" w:color="auto"/>
      </w:divBdr>
      <w:divsChild>
        <w:div w:id="649679683">
          <w:marLeft w:val="480"/>
          <w:marRight w:val="0"/>
          <w:marTop w:val="0"/>
          <w:marBottom w:val="0"/>
          <w:divBdr>
            <w:top w:val="none" w:sz="0" w:space="0" w:color="auto"/>
            <w:left w:val="none" w:sz="0" w:space="0" w:color="auto"/>
            <w:bottom w:val="none" w:sz="0" w:space="0" w:color="auto"/>
            <w:right w:val="none" w:sz="0" w:space="0" w:color="auto"/>
          </w:divBdr>
        </w:div>
        <w:div w:id="1178155313">
          <w:marLeft w:val="480"/>
          <w:marRight w:val="0"/>
          <w:marTop w:val="0"/>
          <w:marBottom w:val="0"/>
          <w:divBdr>
            <w:top w:val="none" w:sz="0" w:space="0" w:color="auto"/>
            <w:left w:val="none" w:sz="0" w:space="0" w:color="auto"/>
            <w:bottom w:val="none" w:sz="0" w:space="0" w:color="auto"/>
            <w:right w:val="none" w:sz="0" w:space="0" w:color="auto"/>
          </w:divBdr>
        </w:div>
      </w:divsChild>
    </w:div>
    <w:div w:id="984968735">
      <w:bodyDiv w:val="1"/>
      <w:marLeft w:val="0"/>
      <w:marRight w:val="0"/>
      <w:marTop w:val="0"/>
      <w:marBottom w:val="0"/>
      <w:divBdr>
        <w:top w:val="none" w:sz="0" w:space="0" w:color="auto"/>
        <w:left w:val="none" w:sz="0" w:space="0" w:color="auto"/>
        <w:bottom w:val="none" w:sz="0" w:space="0" w:color="auto"/>
        <w:right w:val="none" w:sz="0" w:space="0" w:color="auto"/>
      </w:divBdr>
    </w:div>
    <w:div w:id="1865170062">
      <w:bodyDiv w:val="1"/>
      <w:marLeft w:val="0"/>
      <w:marRight w:val="0"/>
      <w:marTop w:val="0"/>
      <w:marBottom w:val="0"/>
      <w:divBdr>
        <w:top w:val="none" w:sz="0" w:space="0" w:color="auto"/>
        <w:left w:val="none" w:sz="0" w:space="0" w:color="auto"/>
        <w:bottom w:val="none" w:sz="0" w:space="0" w:color="auto"/>
        <w:right w:val="none" w:sz="0" w:space="0" w:color="auto"/>
      </w:divBdr>
    </w:div>
    <w:div w:id="21307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75989-B173-4469-B360-787D6F267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AF5FFD-63B6-4458-9884-3AEB17791185}">
  <ds:schemaRefs>
    <ds:schemaRef ds:uri="http://schemas.microsoft.com/sharepoint/v3/contenttype/forms"/>
  </ds:schemaRefs>
</ds:datastoreItem>
</file>

<file path=customXml/itemProps3.xml><?xml version="1.0" encoding="utf-8"?>
<ds:datastoreItem xmlns:ds="http://schemas.openxmlformats.org/officeDocument/2006/customXml" ds:itemID="{AFD78D3D-20AE-4BA8-80C8-DC6CBCFCE0DC}">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6F0EB64C.dotm</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George Arbuckle</cp:lastModifiedBy>
  <cp:revision>2</cp:revision>
  <dcterms:created xsi:type="dcterms:W3CDTF">2017-11-08T11:08:00Z</dcterms:created>
  <dcterms:modified xsi:type="dcterms:W3CDTF">2017-11-08T11:08:00Z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