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4145"/>
        <w:gridCol w:w="16"/>
      </w:tblGrid>
      <w:tr w:rsidR="007B0097" w:rsidRPr="007B0097">
        <w:trPr>
          <w:gridAfter w:val="1"/>
          <w:tblCellSpacing w:w="0" w:type="dxa"/>
        </w:trPr>
        <w:tc>
          <w:tcPr>
            <w:tcW w:w="0" w:type="auto"/>
            <w:gridSpan w:val="2"/>
            <w:hideMark/>
          </w:tcPr>
          <w:p w:rsidR="007B0097" w:rsidRPr="007B0097" w:rsidRDefault="007B0097" w:rsidP="007B0097">
            <w:pPr>
              <w:widowControl/>
              <w:spacing w:line="300" w:lineRule="atLeast"/>
              <w:jc w:val="left"/>
              <w:rPr>
                <w:rFonts w:ascii="Arial" w:eastAsia="Times New Roman" w:hAnsi="Arial" w:cs="Arial"/>
                <w:b/>
                <w:bCs/>
                <w:color w:val="333399"/>
                <w:kern w:val="0"/>
                <w:lang w:val="en-US"/>
              </w:rPr>
            </w:pPr>
            <w:r w:rsidRPr="007B0097">
              <w:rPr>
                <w:rFonts w:ascii="Arial" w:eastAsia="Times New Roman" w:hAnsi="Arial" w:cs="Arial"/>
                <w:b/>
                <w:bCs/>
                <w:color w:val="333399"/>
                <w:kern w:val="0"/>
                <w:lang w:val="en-US"/>
              </w:rPr>
              <w:fldChar w:fldCharType="begin"/>
            </w:r>
            <w:r w:rsidRPr="007B0097">
              <w:rPr>
                <w:rFonts w:ascii="Arial" w:eastAsia="Times New Roman" w:hAnsi="Arial" w:cs="Arial"/>
                <w:b/>
                <w:bCs/>
                <w:color w:val="333399"/>
                <w:kern w:val="0"/>
                <w:lang w:val="en-US"/>
              </w:rPr>
              <w:instrText xml:space="preserve"> HYPERLINK "javascript://" </w:instrText>
            </w:r>
            <w:r w:rsidRPr="007B0097">
              <w:rPr>
                <w:rFonts w:ascii="Arial" w:eastAsia="Times New Roman" w:hAnsi="Arial" w:cs="Arial"/>
                <w:b/>
                <w:bCs/>
                <w:color w:val="333399"/>
                <w:kern w:val="0"/>
                <w:lang w:val="en-US"/>
              </w:rPr>
              <w:fldChar w:fldCharType="separate"/>
            </w:r>
            <w:r w:rsidRPr="007B0097">
              <w:rPr>
                <w:rFonts w:ascii="Arial" w:eastAsia="Times New Roman" w:hAnsi="Arial" w:cs="Arial"/>
                <w:b/>
                <w:bCs/>
                <w:color w:val="163348"/>
                <w:kern w:val="0"/>
                <w:lang w:val="en-US"/>
              </w:rPr>
              <w:t xml:space="preserve">Ming </w:t>
            </w:r>
            <w:proofErr w:type="spellStart"/>
            <w:r w:rsidRPr="007B0097">
              <w:rPr>
                <w:rFonts w:ascii="Arial" w:eastAsia="Times New Roman" w:hAnsi="Arial" w:cs="Arial"/>
                <w:b/>
                <w:bCs/>
                <w:color w:val="163348"/>
                <w:kern w:val="0"/>
                <w:lang w:val="en-US"/>
              </w:rPr>
              <w:t>Pao</w:t>
            </w:r>
            <w:proofErr w:type="spellEnd"/>
            <w:r w:rsidRPr="007B0097">
              <w:rPr>
                <w:rFonts w:ascii="Arial" w:eastAsia="Times New Roman" w:hAnsi="Arial" w:cs="Arial"/>
                <w:b/>
                <w:bCs/>
                <w:color w:val="163348"/>
                <w:kern w:val="0"/>
                <w:lang w:val="en-US"/>
              </w:rPr>
              <w:t xml:space="preserve"> Daily News</w:t>
            </w:r>
            <w:r w:rsidRPr="007B0097">
              <w:rPr>
                <w:rFonts w:ascii="Arial" w:eastAsia="Times New Roman" w:hAnsi="Arial" w:cs="Arial"/>
                <w:b/>
                <w:bCs/>
                <w:color w:val="333399"/>
                <w:kern w:val="0"/>
                <w:lang w:val="en-US"/>
              </w:rPr>
              <w:fldChar w:fldCharType="end"/>
            </w:r>
          </w:p>
          <w:p w:rsidR="007B0097" w:rsidRPr="007B0097" w:rsidRDefault="007B0097" w:rsidP="007B0097">
            <w:pPr>
              <w:widowControl/>
              <w:spacing w:line="255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  <w:r w:rsidRPr="007B0097">
              <w:rPr>
                <w:rFonts w:ascii="Arial" w:eastAsia="Times New Roman" w:hAnsi="Arial" w:cs="Arial"/>
                <w:color w:val="333333"/>
                <w:kern w:val="0"/>
                <w:lang w:val="en-US"/>
              </w:rPr>
              <w:t xml:space="preserve">A36 | </w:t>
            </w:r>
            <w:hyperlink r:id="rId7" w:history="1">
              <w:r w:rsidRPr="007B0097">
                <w:rPr>
                  <w:rFonts w:ascii="宋体" w:eastAsia="宋体" w:hAnsi="宋体" w:cs="宋体"/>
                  <w:color w:val="163348"/>
                  <w:kern w:val="0"/>
                  <w:lang w:val="en-US"/>
                </w:rPr>
                <w:t>觀點</w:t>
              </w:r>
            </w:hyperlink>
            <w:r w:rsidRPr="007B0097">
              <w:rPr>
                <w:rFonts w:ascii="Arial" w:eastAsia="Times New Roman" w:hAnsi="Arial" w:cs="Arial"/>
                <w:color w:val="333333"/>
                <w:kern w:val="0"/>
                <w:lang w:val="en-US"/>
              </w:rPr>
              <w:t xml:space="preserve"> | </w:t>
            </w:r>
            <w:hyperlink r:id="rId8" w:history="1">
              <w:r w:rsidRPr="007B0097">
                <w:rPr>
                  <w:rFonts w:ascii="Arial" w:eastAsia="Times New Roman" w:hAnsi="Arial" w:cs="Arial"/>
                  <w:color w:val="163348"/>
                  <w:kern w:val="0"/>
                  <w:lang w:val="en-US"/>
                </w:rPr>
                <w:t xml:space="preserve">By </w:t>
              </w:r>
              <w:r w:rsidRPr="007B0097">
                <w:rPr>
                  <w:rFonts w:ascii="宋体" w:eastAsia="宋体" w:hAnsi="宋体" w:cs="宋体"/>
                  <w:color w:val="163348"/>
                  <w:kern w:val="0"/>
                  <w:lang w:val="en-US"/>
                </w:rPr>
                <w:t>李芝蘭</w:t>
              </w:r>
            </w:hyperlink>
            <w:r w:rsidRPr="007B0097">
              <w:rPr>
                <w:rFonts w:ascii="Arial" w:eastAsia="Times New Roman" w:hAnsi="Arial" w:cs="Arial"/>
                <w:color w:val="333333"/>
                <w:kern w:val="0"/>
                <w:lang w:val="en-US"/>
              </w:rPr>
              <w:t xml:space="preserve"> | 2013-06-27 </w:t>
            </w:r>
          </w:p>
          <w:p w:rsidR="007B0097" w:rsidRPr="007B0097" w:rsidRDefault="007B0097" w:rsidP="007B0097">
            <w:pPr>
              <w:widowControl/>
              <w:spacing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</w:p>
        </w:tc>
      </w:tr>
      <w:tr w:rsidR="007B0097" w:rsidRPr="007B0097">
        <w:trPr>
          <w:tblCellSpacing w:w="0" w:type="dxa"/>
        </w:trPr>
        <w:tc>
          <w:tcPr>
            <w:tcW w:w="0" w:type="auto"/>
            <w:gridSpan w:val="3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097" w:rsidRPr="007B0097" w:rsidRDefault="007B0097" w:rsidP="007B0097">
            <w:pPr>
              <w:widowControl/>
              <w:spacing w:line="300" w:lineRule="atLeast"/>
              <w:jc w:val="righ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</w:p>
        </w:tc>
      </w:tr>
      <w:tr w:rsidR="007B0097" w:rsidRPr="007B009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B0097" w:rsidRPr="007B0097" w:rsidRDefault="007B0097" w:rsidP="007B0097">
            <w:pPr>
              <w:widowControl/>
              <w:spacing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3"/>
              <w:gridCol w:w="23"/>
            </w:tblGrid>
            <w:tr w:rsidR="007B0097" w:rsidRPr="007B00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0097" w:rsidRPr="007B0097" w:rsidRDefault="007B0097" w:rsidP="007B0097">
                  <w:pPr>
                    <w:widowControl/>
                    <w:spacing w:line="300" w:lineRule="atLeast"/>
                    <w:jc w:val="left"/>
                    <w:rPr>
                      <w:rFonts w:ascii="Arial" w:eastAsia="Times New Roman" w:hAnsi="Arial" w:cs="Arial"/>
                      <w:color w:val="333333"/>
                      <w:kern w:val="0"/>
                      <w:lang w:val="en-US"/>
                    </w:rPr>
                  </w:pPr>
                  <w:r w:rsidRPr="007B0097">
                    <w:rPr>
                      <w:rFonts w:ascii="宋体" w:eastAsia="宋体" w:hAnsi="宋体" w:cs="宋体"/>
                      <w:b/>
                      <w:bCs/>
                      <w:color w:val="163348"/>
                      <w:kern w:val="0"/>
                      <w:lang w:val="en-US"/>
                    </w:rPr>
                    <w:t>特首，請拿出方案</w:t>
                  </w:r>
                  <w:proofErr w:type="gramStart"/>
                  <w:r w:rsidRPr="007B0097">
                    <w:rPr>
                      <w:rFonts w:ascii="宋体" w:eastAsia="宋体" w:hAnsi="宋体" w:cs="宋体"/>
                      <w:b/>
                      <w:bCs/>
                      <w:color w:val="163348"/>
                      <w:kern w:val="0"/>
                      <w:lang w:val="en-US"/>
                    </w:rPr>
                    <w:t>來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097" w:rsidRPr="007B0097" w:rsidRDefault="007B0097" w:rsidP="007B0097">
                  <w:pPr>
                    <w:widowControl/>
                    <w:spacing w:line="300" w:lineRule="atLeast"/>
                    <w:jc w:val="right"/>
                    <w:rPr>
                      <w:rFonts w:ascii="Arial" w:eastAsia="Times New Roman" w:hAnsi="Arial" w:cs="Arial"/>
                      <w:color w:val="333333"/>
                      <w:kern w:val="0"/>
                      <w:lang w:val="en-US"/>
                    </w:rPr>
                  </w:pPr>
                </w:p>
              </w:tc>
            </w:tr>
            <w:tr w:rsidR="007B0097" w:rsidRPr="007B009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0097" w:rsidRPr="007B0097" w:rsidRDefault="007B0097" w:rsidP="007B0097">
                  <w:pPr>
                    <w:widowControl/>
                    <w:spacing w:line="300" w:lineRule="atLeast"/>
                    <w:jc w:val="left"/>
                    <w:rPr>
                      <w:rFonts w:ascii="Arial" w:eastAsia="Times New Roman" w:hAnsi="Arial" w:cs="Arial"/>
                      <w:color w:val="333333"/>
                      <w:kern w:val="0"/>
                      <w:lang w:val="en-US"/>
                    </w:rPr>
                  </w:pPr>
                </w:p>
              </w:tc>
            </w:tr>
          </w:tbl>
          <w:p w:rsidR="007B0097" w:rsidRPr="007B0097" w:rsidRDefault="007B0097" w:rsidP="007B0097">
            <w:pPr>
              <w:widowControl/>
              <w:spacing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</w:p>
        </w:tc>
      </w:tr>
      <w:tr w:rsidR="007B0097" w:rsidRPr="007B0097">
        <w:trPr>
          <w:tblCellSpacing w:w="0" w:type="dxa"/>
        </w:trPr>
        <w:tc>
          <w:tcPr>
            <w:tcW w:w="0" w:type="auto"/>
            <w:vAlign w:val="center"/>
            <w:hideMark/>
          </w:tcPr>
          <w:p w:rsidR="007B0097" w:rsidRPr="007B0097" w:rsidRDefault="007B0097" w:rsidP="007B0097">
            <w:pPr>
              <w:widowControl/>
              <w:spacing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B0097" w:rsidRPr="007B0097" w:rsidRDefault="007B0097" w:rsidP="007B0097">
            <w:pPr>
              <w:widowControl/>
              <w:jc w:val="left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B0097" w:rsidRPr="007B0097" w:rsidRDefault="007B0097" w:rsidP="007B0097">
            <w:pPr>
              <w:widowControl/>
              <w:jc w:val="left"/>
              <w:rPr>
                <w:rFonts w:eastAsia="Times New Roman"/>
                <w:kern w:val="0"/>
                <w:lang w:val="en-US"/>
              </w:rPr>
            </w:pPr>
          </w:p>
        </w:tc>
      </w:tr>
      <w:tr w:rsidR="007B0097" w:rsidRPr="007B0097" w:rsidTr="007B0097">
        <w:trPr>
          <w:trHeight w:val="396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B0097" w:rsidRPr="007B0097" w:rsidRDefault="007B0097" w:rsidP="007B00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近日行政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議召集人林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煥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光公開贊成</w:t>
            </w:r>
            <w:r w:rsidRPr="007B0097">
              <w:rPr>
                <w:rFonts w:ascii="Arial" w:eastAsia="Times New Roman" w:hAnsi="Arial" w:cs="Arial"/>
                <w:color w:val="333333"/>
                <w:kern w:val="0"/>
                <w:lang w:val="en-US"/>
              </w:rPr>
              <w:t>2020</w:t>
            </w: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年取消所有立法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功能組別議席，隨即遭到身兼行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成員的經民聯立法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議員林健鋒駁斥，指這只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屬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林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煥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光個人意見。</w:t>
            </w:r>
            <w:r w:rsidRPr="007B0097">
              <w:rPr>
                <w:rFonts w:ascii="Arial" w:eastAsia="Times New Roman" w:hAnsi="Arial" w:cs="Arial"/>
                <w:color w:val="333333"/>
                <w:kern w:val="0"/>
                <w:lang w:val="en-US"/>
              </w:rPr>
              <w:t xml:space="preserve">3 </w:t>
            </w: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天後，另一行會成員張志剛在一個研討會中坦白地告訴大家，行會其實至今還沒有討論過政改的議題，方案固然沒有，也未曾談論過諮詢社會的時間表。政者不問政，令人憂慮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側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目。</w:t>
            </w:r>
          </w:p>
          <w:p w:rsidR="007B0097" w:rsidRPr="007B0097" w:rsidRDefault="007B0097" w:rsidP="007B00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政者不問政令人憂慮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側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目</w:t>
            </w:r>
            <w:bookmarkStart w:id="0" w:name="_GoBack"/>
            <w:bookmarkEnd w:id="0"/>
          </w:p>
          <w:p w:rsidR="007B0097" w:rsidRPr="007B0097" w:rsidRDefault="007B0097" w:rsidP="007B00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根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據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全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國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人大常委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Arial" w:eastAsia="Times New Roman" w:hAnsi="Arial" w:cs="Arial"/>
                <w:color w:val="333333"/>
                <w:kern w:val="0"/>
                <w:lang w:val="en-US"/>
              </w:rPr>
              <w:t xml:space="preserve">2004 </w:t>
            </w: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年的釋法，香港特區行政長官及立法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的選舉辦法如要修改，需經過「五部曲」，第一是由行政長官向全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國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人大常委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提出選舉辦法是否需要修改，第二是由人大常委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決定可否修改，第三是修改方案獲立法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議員三分之二大多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數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通過，第四是方案獲特首同意，最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後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再交由人大常委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批准或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備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案。當年人大的《解釋》強調，五部曲是政改必經步驟，</w:t>
            </w:r>
            <w:r w:rsidRPr="007B0097">
              <w:rPr>
                <w:rFonts w:ascii="Arial" w:eastAsia="Times New Roman" w:hAnsi="Arial" w:cs="Arial"/>
                <w:color w:val="333333"/>
                <w:kern w:val="0"/>
                <w:lang w:val="en-US"/>
              </w:rPr>
              <w:t xml:space="preserve"> </w:t>
            </w: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「缺一不可」。由是觀之，特首在政改過程中可謂舉足輕重，扮演</w:t>
            </w:r>
            <w:r w:rsidRPr="007B0097">
              <w:rPr>
                <w:rFonts w:ascii="Arial" w:eastAsia="Times New Roman" w:hAnsi="Arial" w:cs="Arial"/>
                <w:color w:val="333333"/>
                <w:kern w:val="0"/>
                <w:lang w:val="en-US"/>
              </w:rPr>
              <w:t></w:t>
            </w: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政改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啟動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者的角色。</w:t>
            </w:r>
          </w:p>
          <w:p w:rsidR="007B0097" w:rsidRPr="007B0097" w:rsidRDefault="007B0097" w:rsidP="007B00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可惜的是，經常批評前朝曾蔭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權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政府不作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為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，誓要重拾香港速度的梁振英，至今仍在政改問題上交白卷，不但政改的草稿芳蹤杳然，甚至連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一場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像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樣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的諮詢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都未曾出現。回歸</w:t>
            </w:r>
            <w:r w:rsidRPr="007B0097">
              <w:rPr>
                <w:rFonts w:ascii="Arial" w:eastAsia="Times New Roman" w:hAnsi="Arial" w:cs="Arial"/>
                <w:color w:val="333333"/>
                <w:kern w:val="0"/>
                <w:lang w:val="en-US"/>
              </w:rPr>
              <w:t xml:space="preserve">16 </w:t>
            </w: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年了，香港政治制度發展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滯後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、扭曲的立法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加上認受性先天不足的弱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勢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特首，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導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致特區施政舉步維艱、社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會內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耗空轉不止，已是普遍共識。目前各方爭拗的重點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不是需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不需要政改，而是如何去改。有論者或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推測，梁振英政府在政改問題上的零表現，或許是等候中央政府的指示？但今年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兩會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期間在北京引起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一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陣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熱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論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後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，社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討論已經展開，特區政府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為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何仍姍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姍來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遲？</w:t>
            </w:r>
          </w:p>
          <w:p w:rsidR="007B0097" w:rsidRPr="007B0097" w:rsidRDefault="007B0097" w:rsidP="007B00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事實上，曾蔭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權</w:t>
            </w:r>
            <w:proofErr w:type="gramEnd"/>
            <w:r w:rsidRPr="007B0097">
              <w:rPr>
                <w:rFonts w:ascii="Arial" w:eastAsia="Times New Roman" w:hAnsi="Arial" w:cs="Arial"/>
                <w:color w:val="333333"/>
                <w:kern w:val="0"/>
                <w:lang w:val="en-US"/>
              </w:rPr>
              <w:t xml:space="preserve">3 </w:t>
            </w: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年前的政改「起錨」，宣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傳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手法雖然拙劣，畢竟使社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的討論迅速聚焦在具體的選舉安排上，做到了政府在重大社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議題的基本角色</w:t>
            </w:r>
            <w:r w:rsidRPr="007B0097">
              <w:rPr>
                <w:rFonts w:ascii="Arial" w:eastAsia="Times New Roman" w:hAnsi="Arial" w:cs="Arial"/>
                <w:color w:val="333333"/>
                <w:kern w:val="0"/>
                <w:lang w:val="en-US"/>
              </w:rPr>
              <w:t>——</w:t>
            </w: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建設平台，主持各方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與討論。相反，在當前行政機關缺位之下，各方根本找不到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一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個實質開展討論的基礎，很多議論也因而流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於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純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粹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各自表態或宣示情緒，部分關心民主進程的人士嘗試在民間構建理性討論政改的平台，小有成果亦舉步維艱。</w:t>
            </w:r>
          </w:p>
          <w:p w:rsidR="007B0097" w:rsidRPr="007B0097" w:rsidRDefault="007B0097" w:rsidP="007B00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不是已敲響警鐘了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嗎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？</w:t>
            </w:r>
          </w:p>
          <w:p w:rsidR="007B0097" w:rsidRPr="007B0097" w:rsidRDefault="007B0097" w:rsidP="007B00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若任由目前社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上各自表述互相攻訐的趨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勢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蔓延，只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造成三輸困局，一方面香港特區政府的無所作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為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被千夫所指，中央政府恐怕亦要背上阻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撓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香港人爭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取民主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的罵名，至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於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香港就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繼續被困在政治發展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滯後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的死胡同之中，無助社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及經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濟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深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層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次矛盾的化解。過去個多星期，香港接連在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兩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個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國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際競爭力排行榜上失利，加上港大民意研究計劃顯示香港人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對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港府及中央的信任程度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屢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見新低，不就是已經敲響警鐘了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嗎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？</w:t>
            </w:r>
          </w:p>
          <w:p w:rsidR="007B0097" w:rsidRPr="007B0097" w:rsidRDefault="007B0097" w:rsidP="007B00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港大民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研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計劃上周一發表在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佔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中運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動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首個商討日前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後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進行的民調結果，發現無論</w:t>
            </w: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lastRenderedPageBreak/>
              <w:t>是經抽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樣應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邀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來參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加商討日的市民，或是沒有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加商討日討論的一般民調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對象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，商討日的進行看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來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都發揮了一定的「意見中間化」的效果。總的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來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說，調查的結果顯示受訪者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對佔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中能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夠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促使真普選不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樂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觀，甚至可以說是悲觀的。但有趣的是，在商討日之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後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進行的調查顯示，曾經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與或只是知悉商討日，持較極端看法（很看好或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很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悲觀）的受訪者均出現下降，而中間意見人士則增加。儘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管只是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一次的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數據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，仍需詳細觀察以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後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趨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勢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，但有學術文獻也曾指出，討論與交流只要在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一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個理性公平的框架下進行，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對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縮小分歧、促進集體決策是絕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對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有利的。</w:t>
            </w:r>
          </w:p>
          <w:p w:rsidR="007B0097" w:rsidRPr="007B0097" w:rsidRDefault="007B0097" w:rsidP="007B00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政治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從來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都是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一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門妥協的藝術，各方總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按照實力，考慮如何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從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分歧中找到共同點，又如何取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捨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讓步達至共識。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對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涉及重大公眾利益的事項，政府需要發揮重要的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導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航角色，責無旁貸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來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領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導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社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各界求同存異。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對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政改這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牽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涉本地社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會內部不同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利益，以至必須調和本港與全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國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、特區與中央這等超重大議題，特區政府更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應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積極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擔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起居中協調的責任，搭建起公平公開的協商平台並主持討論，促進各方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與，適時分析總結利弊，營造多贏的格局。</w:t>
            </w:r>
          </w:p>
          <w:p w:rsidR="007B0097" w:rsidRPr="007B0097" w:rsidRDefault="007B0097" w:rsidP="007B00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所以特首，請你開始吧，拿出政改方案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來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。</w:t>
            </w:r>
          </w:p>
          <w:p w:rsidR="007B0097" w:rsidRPr="007B0097" w:rsidRDefault="007B0097" w:rsidP="007B00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作者是香港城市大學公共及社</w:t>
            </w:r>
            <w:proofErr w:type="gramStart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會</w:t>
            </w:r>
            <w:proofErr w:type="gramEnd"/>
            <w:r w:rsidRPr="007B0097">
              <w:rPr>
                <w:rFonts w:ascii="宋体" w:eastAsia="宋体" w:hAnsi="宋体" w:cs="宋体"/>
                <w:color w:val="333333"/>
                <w:kern w:val="0"/>
                <w:lang w:val="en-US"/>
              </w:rPr>
              <w:t>行政學系教授、香港民主發展網路成員</w:t>
            </w:r>
          </w:p>
          <w:p w:rsidR="007B0097" w:rsidRPr="007B0097" w:rsidRDefault="007B0097" w:rsidP="007B00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lang w:val="en-US"/>
              </w:rPr>
            </w:pPr>
            <w:r w:rsidRPr="007B0097">
              <w:rPr>
                <w:rFonts w:ascii="宋体" w:eastAsia="宋体" w:hAnsi="宋体" w:cs="宋体"/>
                <w:bCs/>
                <w:i/>
                <w:iCs/>
                <w:color w:val="FF0000"/>
                <w:kern w:val="0"/>
                <w:shd w:val="clear" w:color="auto" w:fill="FFFF00"/>
                <w:lang w:val="en-US"/>
              </w:rPr>
              <w:t>李芝蘭</w:t>
            </w:r>
          </w:p>
        </w:tc>
      </w:tr>
    </w:tbl>
    <w:p w:rsidR="00F47C53" w:rsidRPr="007B0097" w:rsidRDefault="007B0097"/>
    <w:sectPr w:rsidR="00F47C53" w:rsidRPr="007B0097">
      <w:footerReference w:type="default" r:id="rId9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97" w:rsidRDefault="007B0097" w:rsidP="007B0097">
      <w:r>
        <w:separator/>
      </w:r>
    </w:p>
  </w:endnote>
  <w:endnote w:type="continuationSeparator" w:id="0">
    <w:p w:rsidR="007B0097" w:rsidRDefault="007B0097" w:rsidP="007B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955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097" w:rsidRDefault="007B00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097" w:rsidRDefault="007B0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97" w:rsidRDefault="007B0097" w:rsidP="007B0097">
      <w:r>
        <w:separator/>
      </w:r>
    </w:p>
  </w:footnote>
  <w:footnote w:type="continuationSeparator" w:id="0">
    <w:p w:rsidR="007B0097" w:rsidRDefault="007B0097" w:rsidP="007B0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97"/>
    <w:rsid w:val="0024647A"/>
    <w:rsid w:val="00380B41"/>
    <w:rsid w:val="005B7709"/>
    <w:rsid w:val="007B0097"/>
    <w:rsid w:val="0082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9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0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0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9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9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0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0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492">
          <w:marLeft w:val="0"/>
          <w:marRight w:val="0"/>
          <w:marTop w:val="0"/>
          <w:marBottom w:val="27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1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57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1437</Characters>
  <Application>Microsoft Office Word</Application>
  <DocSecurity>0</DocSecurity>
  <Lines>11</Lines>
  <Paragraphs>3</Paragraphs>
  <ScaleCrop>false</ScaleCrop>
  <Company>City University of Hong Kong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YANG Zhenjie</dc:creator>
  <cp:lastModifiedBy>Dr. YANG Zhenjie</cp:lastModifiedBy>
  <cp:revision>1</cp:revision>
  <dcterms:created xsi:type="dcterms:W3CDTF">2013-06-27T01:52:00Z</dcterms:created>
  <dcterms:modified xsi:type="dcterms:W3CDTF">2013-06-27T01:55:00Z</dcterms:modified>
</cp:coreProperties>
</file>