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Borders>
          <w:top w:val="outset" w:sz="6" w:space="0" w:color="FFCC66"/>
          <w:left w:val="outset" w:sz="6" w:space="0" w:color="FFCC66"/>
          <w:bottom w:val="outset" w:sz="6" w:space="0" w:color="FFCC66"/>
          <w:right w:val="outset" w:sz="6" w:space="0" w:color="FFCC66"/>
        </w:tblBorders>
        <w:shd w:val="clear" w:color="auto" w:fill="FFCC66"/>
        <w:tblCellMar>
          <w:left w:w="0" w:type="dxa"/>
          <w:right w:w="0" w:type="dxa"/>
        </w:tblCellMar>
        <w:tblLook w:val="04A0" w:firstRow="1" w:lastRow="0" w:firstColumn="1" w:lastColumn="0" w:noHBand="0" w:noVBand="1"/>
      </w:tblPr>
      <w:tblGrid>
        <w:gridCol w:w="8150"/>
      </w:tblGrid>
      <w:tr w:rsidR="00767EA3" w:rsidRPr="00767EA3" w:rsidTr="00767EA3">
        <w:trPr>
          <w:tblCellSpacing w:w="0" w:type="dxa"/>
          <w:jc w:val="center"/>
        </w:trPr>
        <w:tc>
          <w:tcPr>
            <w:tcW w:w="0" w:type="auto"/>
            <w:tcBorders>
              <w:top w:val="outset" w:sz="6" w:space="0" w:color="FFCC66"/>
              <w:left w:val="outset" w:sz="6" w:space="0" w:color="FFCC66"/>
              <w:bottom w:val="outset" w:sz="6" w:space="0" w:color="FFCC66"/>
              <w:right w:val="outset" w:sz="6" w:space="0" w:color="FFCC66"/>
            </w:tcBorders>
            <w:shd w:val="clear" w:color="auto" w:fill="FFCC66"/>
            <w:vAlign w:val="center"/>
            <w:hideMark/>
          </w:tcPr>
          <w:p w:rsidR="00767EA3" w:rsidRPr="00767EA3" w:rsidRDefault="00767EA3" w:rsidP="00767EA3">
            <w:pPr>
              <w:spacing w:after="0" w:line="240" w:lineRule="auto"/>
              <w:jc w:val="right"/>
              <w:rPr>
                <w:rFonts w:ascii="sөũ" w:eastAsia="Times New Roman" w:hAnsi="sөũ" w:cs="Times New Roman"/>
                <w:b/>
                <w:bCs/>
                <w:sz w:val="24"/>
                <w:szCs w:val="24"/>
                <w:lang w:eastAsia="zh-TW"/>
              </w:rPr>
            </w:pPr>
            <w:r w:rsidRPr="00767EA3">
              <w:rPr>
                <w:rFonts w:ascii="sөũ" w:eastAsia="Times New Roman" w:hAnsi="sөũ" w:cs="Times New Roman"/>
                <w:b/>
                <w:bCs/>
                <w:sz w:val="24"/>
                <w:szCs w:val="24"/>
                <w:lang w:eastAsia="zh-TW"/>
              </w:rPr>
              <w:t>2012-09-27</w:t>
            </w:r>
            <w:r w:rsidRPr="00767EA3">
              <w:rPr>
                <w:rFonts w:ascii="PMingLiU" w:eastAsia="PMingLiU" w:hAnsi="PMingLiU" w:cs="PMingLiU" w:hint="eastAsia"/>
                <w:b/>
                <w:bCs/>
                <w:sz w:val="24"/>
                <w:szCs w:val="24"/>
                <w:lang w:eastAsia="zh-TW"/>
              </w:rPr>
              <w:t>《明報》</w:t>
            </w:r>
            <w:r w:rsidRPr="00767EA3">
              <w:rPr>
                <w:rFonts w:ascii="sөũ" w:eastAsia="Times New Roman" w:hAnsi="sөũ" w:cs="Times New Roman"/>
                <w:b/>
                <w:bCs/>
                <w:sz w:val="24"/>
                <w:szCs w:val="24"/>
                <w:lang w:eastAsia="zh-TW"/>
              </w:rPr>
              <w:t>A40</w:t>
            </w:r>
          </w:p>
        </w:tc>
      </w:tr>
      <w:tr w:rsidR="00767EA3" w:rsidRPr="00767EA3" w:rsidTr="00767EA3">
        <w:trPr>
          <w:tblCellSpacing w:w="0" w:type="dxa"/>
          <w:jc w:val="center"/>
        </w:trPr>
        <w:tc>
          <w:tcPr>
            <w:tcW w:w="0" w:type="auto"/>
            <w:tcBorders>
              <w:top w:val="outset" w:sz="6" w:space="0" w:color="FFCC66"/>
              <w:left w:val="outset" w:sz="6" w:space="0" w:color="FFCC66"/>
              <w:bottom w:val="outset" w:sz="6" w:space="0" w:color="FFCC66"/>
              <w:right w:val="outset" w:sz="6" w:space="0" w:color="FFCC66"/>
            </w:tcBorders>
            <w:shd w:val="clear" w:color="auto" w:fill="FFCC66"/>
            <w:vAlign w:val="center"/>
            <w:hideMark/>
          </w:tcPr>
          <w:tbl>
            <w:tblPr>
              <w:tblW w:w="5000" w:type="pct"/>
              <w:tblCellSpacing w:w="0" w:type="dxa"/>
              <w:shd w:val="clear" w:color="auto" w:fill="FFFFEE"/>
              <w:tblCellMar>
                <w:top w:w="30" w:type="dxa"/>
                <w:left w:w="30" w:type="dxa"/>
                <w:bottom w:w="30" w:type="dxa"/>
                <w:right w:w="30" w:type="dxa"/>
              </w:tblCellMar>
              <w:tblLook w:val="04A0" w:firstRow="1" w:lastRow="0" w:firstColumn="1" w:lastColumn="0" w:noHBand="0" w:noVBand="1"/>
            </w:tblPr>
            <w:tblGrid>
              <w:gridCol w:w="8120"/>
            </w:tblGrid>
            <w:tr w:rsidR="00767EA3" w:rsidRPr="00767EA3">
              <w:trPr>
                <w:tblCellSpacing w:w="0" w:type="dxa"/>
              </w:trPr>
              <w:tc>
                <w:tcPr>
                  <w:tcW w:w="0" w:type="auto"/>
                  <w:shd w:val="clear" w:color="auto" w:fill="FFFFEE"/>
                  <w:hideMark/>
                </w:tcPr>
                <w:p w:rsidR="00767EA3" w:rsidRPr="00767EA3" w:rsidRDefault="00767EA3" w:rsidP="00767EA3">
                  <w:pPr>
                    <w:spacing w:after="0" w:line="360" w:lineRule="auto"/>
                    <w:jc w:val="center"/>
                    <w:rPr>
                      <w:rFonts w:ascii="sөũ" w:eastAsia="Times New Roman" w:hAnsi="sөũ" w:cs="Times New Roman"/>
                      <w:color w:val="333333"/>
                      <w:sz w:val="24"/>
                      <w:szCs w:val="24"/>
                      <w:lang w:eastAsia="zh-TW"/>
                    </w:rPr>
                  </w:pPr>
                  <w:r w:rsidRPr="00767EA3">
                    <w:rPr>
                      <w:rFonts w:ascii="sөũ" w:eastAsia="Times New Roman" w:hAnsi="sөũ" w:cs="Times New Roman"/>
                      <w:color w:val="333333"/>
                      <w:sz w:val="24"/>
                      <w:szCs w:val="24"/>
                      <w:lang w:eastAsia="zh-TW"/>
                    </w:rPr>
                    <w:br/>
                  </w:r>
                  <w:r w:rsidRPr="00767EA3">
                    <w:rPr>
                      <w:rFonts w:ascii="PMingLiU" w:eastAsia="PMingLiU" w:hAnsi="PMingLiU" w:cs="PMingLiU"/>
                      <w:b/>
                      <w:bCs/>
                      <w:color w:val="006600"/>
                      <w:sz w:val="36"/>
                      <w:szCs w:val="36"/>
                      <w:lang w:eastAsia="zh-TW"/>
                    </w:rPr>
                    <w:t>公民社會不能沒有政黨政治</w:t>
                  </w:r>
                </w:p>
                <w:p w:rsidR="00767EA3" w:rsidRPr="00767EA3" w:rsidRDefault="00767EA3" w:rsidP="00767EA3">
                  <w:pPr>
                    <w:spacing w:before="100" w:beforeAutospacing="1" w:after="100" w:afterAutospacing="1" w:line="360" w:lineRule="auto"/>
                    <w:jc w:val="center"/>
                    <w:rPr>
                      <w:rFonts w:ascii="sөũ" w:eastAsia="Times New Roman" w:hAnsi="sөũ" w:cs="Times New Roman"/>
                      <w:color w:val="336699"/>
                      <w:sz w:val="24"/>
                      <w:szCs w:val="24"/>
                      <w:lang w:eastAsia="zh-TW"/>
                    </w:rPr>
                  </w:pPr>
                  <w:r w:rsidRPr="00767EA3">
                    <w:rPr>
                      <w:rFonts w:ascii="PMingLiU" w:eastAsia="PMingLiU" w:hAnsi="PMingLiU" w:cs="PMingLiU"/>
                      <w:color w:val="336699"/>
                      <w:sz w:val="24"/>
                      <w:szCs w:val="24"/>
                      <w:lang w:eastAsia="zh-TW"/>
                    </w:rPr>
                    <w:t>香港城市大學公共及社會行政學系教授</w:t>
                  </w:r>
                  <w:r w:rsidRPr="00767EA3">
                    <w:rPr>
                      <w:rFonts w:ascii="sөũ" w:eastAsia="Times New Roman" w:hAnsi="sөũ" w:cs="Times New Roman"/>
                      <w:color w:val="336699"/>
                      <w:sz w:val="24"/>
                      <w:szCs w:val="24"/>
                      <w:lang w:eastAsia="zh-TW"/>
                    </w:rPr>
                    <w:t xml:space="preserve"> </w:t>
                  </w:r>
                  <w:r w:rsidRPr="00767EA3">
                    <w:rPr>
                      <w:rFonts w:ascii="PMingLiU" w:eastAsia="PMingLiU" w:hAnsi="PMingLiU" w:cs="PMingLiU"/>
                      <w:b/>
                      <w:bCs/>
                      <w:color w:val="336699"/>
                      <w:sz w:val="24"/>
                      <w:szCs w:val="24"/>
                      <w:lang w:eastAsia="zh-TW"/>
                    </w:rPr>
                    <w:t>李芝蘭</w:t>
                  </w:r>
                  <w:r w:rsidRPr="00767EA3">
                    <w:rPr>
                      <w:rFonts w:ascii="sөũ" w:eastAsia="Times New Roman" w:hAnsi="sөũ" w:cs="Times New Roman"/>
                      <w:color w:val="336699"/>
                      <w:sz w:val="24"/>
                      <w:szCs w:val="24"/>
                      <w:lang w:eastAsia="zh-TW"/>
                    </w:rPr>
                    <w:t xml:space="preserve"> </w:t>
                  </w:r>
                </w:p>
                <w:p w:rsidR="00767EA3" w:rsidRPr="00767EA3" w:rsidRDefault="00767EA3" w:rsidP="00767EA3">
                  <w:pPr>
                    <w:spacing w:after="100" w:line="360" w:lineRule="auto"/>
                    <w:rPr>
                      <w:rFonts w:ascii="sөũ" w:eastAsia="Times New Roman" w:hAnsi="sөũ" w:cs="Times New Roman"/>
                      <w:color w:val="333333"/>
                      <w:sz w:val="24"/>
                      <w:szCs w:val="24"/>
                      <w:lang w:eastAsia="zh-TW"/>
                    </w:rPr>
                  </w:pPr>
                  <w:r w:rsidRPr="00767EA3">
                    <w:rPr>
                      <w:rFonts w:ascii="PMingLiU" w:eastAsia="PMingLiU" w:hAnsi="PMingLiU" w:cs="PMingLiU"/>
                      <w:color w:val="333333"/>
                      <w:sz w:val="24"/>
                      <w:szCs w:val="24"/>
                      <w:lang w:eastAsia="zh-TW"/>
                    </w:rPr>
                    <w:t>在一場轟動全港的佔領政府總部行動後一天，隨即來了</w:t>
                  </w:r>
                  <w:r w:rsidRPr="00767EA3">
                    <w:rPr>
                      <w:rFonts w:ascii="sөũ" w:eastAsia="Times New Roman" w:hAnsi="sөũ" w:cs="Times New Roman"/>
                      <w:color w:val="333333"/>
                      <w:sz w:val="24"/>
                      <w:szCs w:val="24"/>
                      <w:lang w:eastAsia="zh-TW"/>
                    </w:rPr>
                    <w:t xml:space="preserve">2012 </w:t>
                  </w:r>
                  <w:r w:rsidRPr="00767EA3">
                    <w:rPr>
                      <w:rFonts w:ascii="PMingLiU" w:eastAsia="PMingLiU" w:hAnsi="PMingLiU" w:cs="PMingLiU"/>
                      <w:color w:val="333333"/>
                      <w:sz w:val="24"/>
                      <w:szCs w:val="24"/>
                      <w:lang w:eastAsia="zh-TW"/>
                    </w:rPr>
                    <w:t>年立法會選舉。結果是</w:t>
                  </w:r>
                  <w:r w:rsidRPr="00767EA3">
                    <w:rPr>
                      <w:rFonts w:ascii="sөũ" w:eastAsia="Times New Roman" w:hAnsi="sөũ" w:cs="Times New Roman"/>
                      <w:color w:val="333333"/>
                      <w:sz w:val="24"/>
                      <w:szCs w:val="24"/>
                      <w:lang w:eastAsia="zh-TW"/>
                    </w:rPr>
                    <w:t xml:space="preserve">12 </w:t>
                  </w:r>
                  <w:r w:rsidRPr="00767EA3">
                    <w:rPr>
                      <w:rFonts w:ascii="PMingLiU" w:eastAsia="PMingLiU" w:hAnsi="PMingLiU" w:cs="PMingLiU"/>
                      <w:color w:val="333333"/>
                      <w:sz w:val="24"/>
                      <w:szCs w:val="24"/>
                      <w:lang w:eastAsia="zh-TW"/>
                    </w:rPr>
                    <w:t>萬市民在沒有嚴密組織下，迫使梁振英政府撤回國教科開展期死線以及抽起部分敏感課程指引；泛民主派政黨卻在長年耕耘下，於地區直選被對手步步進逼。</w:t>
                  </w:r>
                  <w:proofErr w:type="gramStart"/>
                  <w:r w:rsidRPr="00767EA3">
                    <w:rPr>
                      <w:rFonts w:ascii="PMingLiU" w:eastAsia="PMingLiU" w:hAnsi="PMingLiU" w:cs="PMingLiU"/>
                      <w:color w:val="333333"/>
                      <w:sz w:val="24"/>
                      <w:szCs w:val="24"/>
                      <w:lang w:eastAsia="zh-TW"/>
                    </w:rPr>
                    <w:t>此外，</w:t>
                  </w:r>
                  <w:proofErr w:type="gramEnd"/>
                  <w:r w:rsidRPr="00767EA3">
                    <w:rPr>
                      <w:rFonts w:ascii="PMingLiU" w:eastAsia="PMingLiU" w:hAnsi="PMingLiU" w:cs="PMingLiU"/>
                      <w:color w:val="333333"/>
                      <w:sz w:val="24"/>
                      <w:szCs w:val="24"/>
                      <w:lang w:eastAsia="zh-TW"/>
                    </w:rPr>
                    <w:t>猶記得</w:t>
                  </w:r>
                  <w:r w:rsidRPr="00767EA3">
                    <w:rPr>
                      <w:rFonts w:ascii="sөũ" w:eastAsia="Times New Roman" w:hAnsi="sөũ" w:cs="Times New Roman"/>
                      <w:color w:val="333333"/>
                      <w:sz w:val="24"/>
                      <w:szCs w:val="24"/>
                      <w:lang w:eastAsia="zh-TW"/>
                    </w:rPr>
                    <w:t xml:space="preserve">2003 </w:t>
                  </w:r>
                  <w:r w:rsidRPr="00767EA3">
                    <w:rPr>
                      <w:rFonts w:ascii="PMingLiU" w:eastAsia="PMingLiU" w:hAnsi="PMingLiU" w:cs="PMingLiU"/>
                      <w:color w:val="333333"/>
                      <w:sz w:val="24"/>
                      <w:szCs w:val="24"/>
                      <w:lang w:eastAsia="zh-TW"/>
                    </w:rPr>
                    <w:t>年</w:t>
                  </w:r>
                  <w:r w:rsidRPr="00767EA3">
                    <w:rPr>
                      <w:rFonts w:ascii="sөũ" w:eastAsia="Times New Roman" w:hAnsi="sөũ" w:cs="Times New Roman"/>
                      <w:color w:val="333333"/>
                      <w:sz w:val="24"/>
                      <w:szCs w:val="24"/>
                      <w:lang w:eastAsia="zh-TW"/>
                    </w:rPr>
                    <w:t xml:space="preserve">50 </w:t>
                  </w:r>
                  <w:r w:rsidRPr="00767EA3">
                    <w:rPr>
                      <w:rFonts w:ascii="PMingLiU" w:eastAsia="PMingLiU" w:hAnsi="PMingLiU" w:cs="PMingLiU"/>
                      <w:color w:val="333333"/>
                      <w:sz w:val="24"/>
                      <w:szCs w:val="24"/>
                      <w:lang w:eastAsia="zh-TW"/>
                    </w:rPr>
                    <w:t>萬人上街時，組織示威的民間人權陣線，相當一部分成員均具有政黨背景，但今次佔領</w:t>
                  </w:r>
                  <w:proofErr w:type="gramStart"/>
                  <w:r w:rsidRPr="00767EA3">
                    <w:rPr>
                      <w:rFonts w:ascii="PMingLiU" w:eastAsia="PMingLiU" w:hAnsi="PMingLiU" w:cs="PMingLiU"/>
                      <w:color w:val="333333"/>
                      <w:sz w:val="24"/>
                      <w:szCs w:val="24"/>
                      <w:lang w:eastAsia="zh-TW"/>
                    </w:rPr>
                    <w:t>政總卻出現</w:t>
                  </w:r>
                  <w:proofErr w:type="gramEnd"/>
                  <w:r w:rsidRPr="00767EA3">
                    <w:rPr>
                      <w:rFonts w:ascii="PMingLiU" w:eastAsia="PMingLiU" w:hAnsi="PMingLiU" w:cs="PMingLiU"/>
                      <w:color w:val="333333"/>
                      <w:sz w:val="24"/>
                      <w:szCs w:val="24"/>
                      <w:lang w:eastAsia="zh-TW"/>
                    </w:rPr>
                    <w:t>一幅截然不同的畫面，普遍市民乃至傳媒均傾向認為，假若有政黨參與行動，社會運動就會馬上變質，成為政黨「抽水」的工具，所以無論是佔領政總的組織者或參與者，都十分抗拒政黨介入，而政黨在擔心被指摘之下，亦顯得步步為營。</w:t>
                  </w:r>
                  <w:r w:rsidRPr="00767EA3">
                    <w:rPr>
                      <w:rFonts w:ascii="sөũ" w:eastAsia="Times New Roman" w:hAnsi="sөũ" w:cs="Times New Roman"/>
                      <w:color w:val="333333"/>
                      <w:sz w:val="24"/>
                      <w:szCs w:val="24"/>
                      <w:lang w:eastAsia="zh-TW"/>
                    </w:rPr>
                    <w:br/>
                  </w:r>
                  <w:r w:rsidRPr="00767EA3">
                    <w:rPr>
                      <w:rFonts w:ascii="sөũ" w:eastAsia="Times New Roman" w:hAnsi="sөũ" w:cs="Times New Roman"/>
                      <w:color w:val="333333"/>
                      <w:sz w:val="24"/>
                      <w:szCs w:val="24"/>
                      <w:lang w:eastAsia="zh-TW"/>
                    </w:rPr>
                    <w:br/>
                  </w:r>
                  <w:r w:rsidRPr="00767EA3">
                    <w:rPr>
                      <w:rFonts w:ascii="PMingLiU" w:eastAsia="PMingLiU" w:hAnsi="PMingLiU" w:cs="PMingLiU"/>
                      <w:color w:val="333333"/>
                      <w:sz w:val="24"/>
                      <w:szCs w:val="24"/>
                      <w:lang w:eastAsia="zh-TW"/>
                    </w:rPr>
                    <w:t>民間組織的佔領運動與政黨主導的選舉成績，出現如此強烈對比，有一種呼聲就因此提出，香港今後不能夠再依靠政黨，而只可以借助公民社會的行動直接制衡政府。然而筆者認為，這次反國教展示的成功公民社會運動，不應轉移我們力促政黨改進和壯大的視線，因為政黨在整個社會管治和民主發展中，確實具備了一些公民社會不可替代的作用。</w:t>
                  </w:r>
                  <w:r w:rsidRPr="00767EA3">
                    <w:rPr>
                      <w:rFonts w:ascii="sөũ" w:eastAsia="Times New Roman" w:hAnsi="sөũ" w:cs="Times New Roman"/>
                      <w:color w:val="333333"/>
                      <w:sz w:val="24"/>
                      <w:szCs w:val="24"/>
                      <w:lang w:eastAsia="zh-TW"/>
                    </w:rPr>
                    <w:br/>
                  </w:r>
                  <w:r w:rsidRPr="00767EA3">
                    <w:rPr>
                      <w:rFonts w:ascii="sөũ" w:eastAsia="Times New Roman" w:hAnsi="sөũ" w:cs="Times New Roman"/>
                      <w:color w:val="333333"/>
                      <w:sz w:val="24"/>
                      <w:szCs w:val="24"/>
                      <w:lang w:eastAsia="zh-TW"/>
                    </w:rPr>
                    <w:br/>
                  </w:r>
                  <w:r w:rsidRPr="00767EA3">
                    <w:rPr>
                      <w:rFonts w:ascii="PMingLiU" w:eastAsia="PMingLiU" w:hAnsi="PMingLiU" w:cs="PMingLiU"/>
                      <w:color w:val="333333"/>
                      <w:sz w:val="24"/>
                      <w:szCs w:val="24"/>
                      <w:lang w:eastAsia="zh-TW"/>
                    </w:rPr>
                    <w:t>公民社會中的社會運動往往圍繞單一議題，市民加入行動時因而都有清晰目標。</w:t>
                  </w:r>
                  <w:proofErr w:type="gramStart"/>
                  <w:r w:rsidRPr="00767EA3">
                    <w:rPr>
                      <w:rFonts w:ascii="PMingLiU" w:eastAsia="PMingLiU" w:hAnsi="PMingLiU" w:cs="PMingLiU"/>
                      <w:color w:val="333333"/>
                      <w:sz w:val="24"/>
                      <w:szCs w:val="24"/>
                      <w:lang w:eastAsia="zh-TW"/>
                    </w:rPr>
                    <w:t>就像今次</w:t>
                  </w:r>
                  <w:proofErr w:type="gramEnd"/>
                  <w:r w:rsidRPr="00767EA3">
                    <w:rPr>
                      <w:rFonts w:ascii="PMingLiU" w:eastAsia="PMingLiU" w:hAnsi="PMingLiU" w:cs="PMingLiU"/>
                      <w:color w:val="333333"/>
                      <w:sz w:val="24"/>
                      <w:szCs w:val="24"/>
                      <w:lang w:eastAsia="zh-TW"/>
                    </w:rPr>
                    <w:t>佔領政總行動，組織行動的學民思潮以及家長關注組，都是打着撤回國教科的旗號成功號召支持，而參與的人都有一個做對事的感覺，因而凝聚力強。</w:t>
                  </w:r>
                  <w:r w:rsidRPr="00767EA3">
                    <w:rPr>
                      <w:rFonts w:ascii="sөũ" w:eastAsia="Times New Roman" w:hAnsi="sөũ" w:cs="Times New Roman"/>
                      <w:color w:val="333333"/>
                      <w:sz w:val="24"/>
                      <w:szCs w:val="24"/>
                      <w:lang w:eastAsia="zh-TW"/>
                    </w:rPr>
                    <w:br/>
                  </w:r>
                  <w:r w:rsidRPr="00767EA3">
                    <w:rPr>
                      <w:rFonts w:ascii="sөũ" w:eastAsia="Times New Roman" w:hAnsi="sөũ" w:cs="Times New Roman"/>
                      <w:color w:val="333333"/>
                      <w:sz w:val="24"/>
                      <w:szCs w:val="24"/>
                      <w:lang w:eastAsia="zh-TW"/>
                    </w:rPr>
                    <w:br/>
                  </w:r>
                  <w:r w:rsidRPr="00767EA3">
                    <w:rPr>
                      <w:rFonts w:ascii="PMingLiU" w:eastAsia="PMingLiU" w:hAnsi="PMingLiU" w:cs="PMingLiU"/>
                      <w:b/>
                      <w:bCs/>
                      <w:color w:val="333333"/>
                      <w:sz w:val="24"/>
                      <w:szCs w:val="24"/>
                      <w:lang w:eastAsia="zh-TW"/>
                    </w:rPr>
                    <w:t>不可或缺的政黨</w:t>
                  </w:r>
                  <w:r w:rsidRPr="00767EA3">
                    <w:rPr>
                      <w:rFonts w:ascii="sөũ" w:eastAsia="Times New Roman" w:hAnsi="sөũ" w:cs="Times New Roman"/>
                      <w:color w:val="333333"/>
                      <w:sz w:val="24"/>
                      <w:szCs w:val="24"/>
                      <w:lang w:eastAsia="zh-TW"/>
                    </w:rPr>
                    <w:br/>
                  </w:r>
                  <w:r w:rsidRPr="00767EA3">
                    <w:rPr>
                      <w:rFonts w:ascii="sөũ" w:eastAsia="Times New Roman" w:hAnsi="sөũ" w:cs="Times New Roman"/>
                      <w:color w:val="333333"/>
                      <w:sz w:val="24"/>
                      <w:szCs w:val="24"/>
                      <w:lang w:eastAsia="zh-TW"/>
                    </w:rPr>
                    <w:br/>
                  </w:r>
                  <w:r w:rsidRPr="00767EA3">
                    <w:rPr>
                      <w:rFonts w:ascii="PMingLiU" w:eastAsia="PMingLiU" w:hAnsi="PMingLiU" w:cs="PMingLiU"/>
                      <w:color w:val="333333"/>
                      <w:sz w:val="24"/>
                      <w:szCs w:val="24"/>
                      <w:lang w:eastAsia="zh-TW"/>
                    </w:rPr>
                    <w:t>相反，政黨的特質要求它同時兼顧多個不同政策領域，以民主黨為例，他們</w:t>
                  </w:r>
                  <w:r w:rsidRPr="00767EA3">
                    <w:rPr>
                      <w:rFonts w:ascii="PMingLiU" w:eastAsia="PMingLiU" w:hAnsi="PMingLiU" w:cs="PMingLiU"/>
                      <w:color w:val="333333"/>
                      <w:sz w:val="24"/>
                      <w:szCs w:val="24"/>
                      <w:lang w:eastAsia="zh-TW"/>
                    </w:rPr>
                    <w:lastRenderedPageBreak/>
                    <w:t>在撤回國民教育科上，可能與參與佔領政總人士的目標一致，但其支援政改的立場，卻又會流失部分人的支援。哈佛大學教授李普塞特（</w:t>
                  </w:r>
                  <w:proofErr w:type="spellStart"/>
                  <w:r w:rsidRPr="00767EA3">
                    <w:rPr>
                      <w:rFonts w:ascii="sөũ" w:eastAsia="Times New Roman" w:hAnsi="sөũ" w:cs="Times New Roman"/>
                      <w:color w:val="333333"/>
                      <w:sz w:val="24"/>
                      <w:szCs w:val="24"/>
                      <w:lang w:eastAsia="zh-TW"/>
                    </w:rPr>
                    <w:t>Lipset</w:t>
                  </w:r>
                  <w:proofErr w:type="spellEnd"/>
                  <w:r w:rsidRPr="00767EA3">
                    <w:rPr>
                      <w:rFonts w:ascii="PMingLiU" w:eastAsia="PMingLiU" w:hAnsi="PMingLiU" w:cs="PMingLiU"/>
                      <w:color w:val="333333"/>
                      <w:sz w:val="24"/>
                      <w:szCs w:val="24"/>
                      <w:lang w:eastAsia="zh-TW"/>
                    </w:rPr>
                    <w:t>）在</w:t>
                  </w:r>
                  <w:r w:rsidRPr="00767EA3">
                    <w:rPr>
                      <w:rFonts w:ascii="sөũ" w:eastAsia="Times New Roman" w:hAnsi="sөũ" w:cs="Times New Roman"/>
                      <w:color w:val="333333"/>
                      <w:sz w:val="24"/>
                      <w:szCs w:val="24"/>
                      <w:lang w:eastAsia="zh-TW"/>
                    </w:rPr>
                    <w:t xml:space="preserve">2000 </w:t>
                  </w:r>
                  <w:r w:rsidRPr="00767EA3">
                    <w:rPr>
                      <w:rFonts w:ascii="PMingLiU" w:eastAsia="PMingLiU" w:hAnsi="PMingLiU" w:cs="PMingLiU"/>
                      <w:color w:val="333333"/>
                      <w:sz w:val="24"/>
                      <w:szCs w:val="24"/>
                      <w:lang w:eastAsia="zh-TW"/>
                    </w:rPr>
                    <w:t>年出版的《不可或缺的政黨》（</w:t>
                  </w:r>
                  <w:r w:rsidRPr="00767EA3">
                    <w:rPr>
                      <w:rFonts w:ascii="sөũ" w:eastAsia="Times New Roman" w:hAnsi="sөũ" w:cs="Times New Roman"/>
                      <w:color w:val="333333"/>
                      <w:sz w:val="24"/>
                      <w:szCs w:val="24"/>
                      <w:lang w:eastAsia="zh-TW"/>
                    </w:rPr>
                    <w:t xml:space="preserve">The Indispensability </w:t>
                  </w:r>
                  <w:proofErr w:type="spellStart"/>
                  <w:r w:rsidRPr="00767EA3">
                    <w:rPr>
                      <w:rFonts w:ascii="sөũ" w:eastAsia="Times New Roman" w:hAnsi="sөũ" w:cs="Times New Roman"/>
                      <w:color w:val="333333"/>
                      <w:sz w:val="24"/>
                      <w:szCs w:val="24"/>
                      <w:lang w:eastAsia="zh-TW"/>
                    </w:rPr>
                    <w:t>ofPolitical</w:t>
                  </w:r>
                  <w:proofErr w:type="spellEnd"/>
                  <w:r w:rsidRPr="00767EA3">
                    <w:rPr>
                      <w:rFonts w:ascii="sөũ" w:eastAsia="Times New Roman" w:hAnsi="sөũ" w:cs="Times New Roman"/>
                      <w:color w:val="333333"/>
                      <w:sz w:val="24"/>
                      <w:szCs w:val="24"/>
                      <w:lang w:eastAsia="zh-TW"/>
                    </w:rPr>
                    <w:t xml:space="preserve"> Parties</w:t>
                  </w:r>
                  <w:r w:rsidRPr="00767EA3">
                    <w:rPr>
                      <w:rFonts w:ascii="PMingLiU" w:eastAsia="PMingLiU" w:hAnsi="PMingLiU" w:cs="PMingLiU"/>
                      <w:color w:val="333333"/>
                      <w:sz w:val="24"/>
                      <w:szCs w:val="24"/>
                      <w:lang w:eastAsia="zh-TW"/>
                    </w:rPr>
                    <w:t>）一文精闢指出，正由於政黨能同時代表多種訴求，所以才能擔當公民社會眾多組織與</w:t>
                  </w:r>
                  <w:proofErr w:type="gramStart"/>
                  <w:r w:rsidRPr="00767EA3">
                    <w:rPr>
                      <w:rFonts w:ascii="PMingLiU" w:eastAsia="PMingLiU" w:hAnsi="PMingLiU" w:cs="PMingLiU"/>
                      <w:color w:val="333333"/>
                      <w:sz w:val="24"/>
                      <w:szCs w:val="24"/>
                      <w:lang w:eastAsia="zh-TW"/>
                    </w:rPr>
                    <w:t>政府間的一道</w:t>
                  </w:r>
                  <w:proofErr w:type="gramEnd"/>
                  <w:r w:rsidRPr="00767EA3">
                    <w:rPr>
                      <w:rFonts w:ascii="PMingLiU" w:eastAsia="PMingLiU" w:hAnsi="PMingLiU" w:cs="PMingLiU"/>
                      <w:color w:val="333333"/>
                      <w:sz w:val="24"/>
                      <w:szCs w:val="24"/>
                      <w:lang w:eastAsia="zh-TW"/>
                    </w:rPr>
                    <w:t>連結，提供一個公眾在進行日常生活的同時可參與公眾事務的民間政治架構，眾多不同利益在政黨提供的平台上互相凝聚，乃至達成共識，然後再由政黨作為代表與政府談判，將社會內原來分散的訴求帶入政策制定的過程。這樣的好處是持續性高，亦可減輕依賴</w:t>
                  </w:r>
                  <w:proofErr w:type="gramStart"/>
                  <w:r w:rsidRPr="00767EA3">
                    <w:rPr>
                      <w:rFonts w:ascii="PMingLiU" w:eastAsia="PMingLiU" w:hAnsi="PMingLiU" w:cs="PMingLiU"/>
                      <w:color w:val="333333"/>
                      <w:sz w:val="24"/>
                      <w:szCs w:val="24"/>
                      <w:lang w:eastAsia="zh-TW"/>
                    </w:rPr>
                    <w:t>議題式的社會</w:t>
                  </w:r>
                  <w:proofErr w:type="gramEnd"/>
                  <w:r w:rsidRPr="00767EA3">
                    <w:rPr>
                      <w:rFonts w:ascii="PMingLiU" w:eastAsia="PMingLiU" w:hAnsi="PMingLiU" w:cs="PMingLiU"/>
                      <w:color w:val="333333"/>
                      <w:sz w:val="24"/>
                      <w:szCs w:val="24"/>
                      <w:lang w:eastAsia="zh-TW"/>
                    </w:rPr>
                    <w:t>動員來制訂政策的社會成本。</w:t>
                  </w:r>
                  <w:r w:rsidRPr="00767EA3">
                    <w:rPr>
                      <w:rFonts w:ascii="sөũ" w:eastAsia="Times New Roman" w:hAnsi="sөũ" w:cs="Times New Roman"/>
                      <w:color w:val="333333"/>
                      <w:sz w:val="24"/>
                      <w:szCs w:val="24"/>
                      <w:lang w:eastAsia="zh-TW"/>
                    </w:rPr>
                    <w:br/>
                  </w:r>
                  <w:r w:rsidRPr="00767EA3">
                    <w:rPr>
                      <w:rFonts w:ascii="PMingLiU" w:eastAsia="PMingLiU" w:hAnsi="PMingLiU" w:cs="PMingLiU"/>
                      <w:color w:val="333333"/>
                      <w:sz w:val="24"/>
                      <w:szCs w:val="24"/>
                      <w:lang w:eastAsia="zh-TW"/>
                    </w:rPr>
                    <w:t>在成熟的民主社會，政黨間互相競爭，並以執政為目標，換句話說，在野者與執政者在一段時間內是會互易其位的，而在這過程中，所有政黨便會着力訓練遲早要擔任重要公職的政治人才。香港目前面對的困局，除了政黨競爭執政的體制尚待確立（因而需要進一步的政治改革），便是儘管公民社會日益蓬勃，政黨的發展卻有點停滯不前。當這種反差愈大時，我們要做的是促進提升香港政黨的質素，當中包括鼓勵真知灼見的人士，不應滿足於只在公民社會論政，而應進一步投身政黨政治，除了參與現有政黨或組建新的政黨，更重要的是，要思考如何將政治訴求和理念逐步成為政策和社會行為，如何促使我們的政治制度向前發展，為未來的社會訴求進入政策過程締造一個更友善順暢的制度環境。</w:t>
                  </w:r>
                  <w:r w:rsidRPr="00767EA3">
                    <w:rPr>
                      <w:rFonts w:ascii="sөũ" w:eastAsia="Times New Roman" w:hAnsi="sөũ" w:cs="Times New Roman"/>
                      <w:color w:val="333333"/>
                      <w:sz w:val="24"/>
                      <w:szCs w:val="24"/>
                      <w:lang w:eastAsia="zh-TW"/>
                    </w:rPr>
                    <w:br/>
                  </w:r>
                  <w:r w:rsidRPr="00767EA3">
                    <w:rPr>
                      <w:rFonts w:ascii="sөũ" w:eastAsia="Times New Roman" w:hAnsi="sөũ" w:cs="Times New Roman"/>
                      <w:color w:val="333333"/>
                      <w:sz w:val="24"/>
                      <w:szCs w:val="24"/>
                      <w:lang w:eastAsia="zh-TW"/>
                    </w:rPr>
                    <w:br/>
                  </w:r>
                  <w:r w:rsidRPr="00767EA3">
                    <w:rPr>
                      <w:rFonts w:ascii="PMingLiU" w:eastAsia="PMingLiU" w:hAnsi="PMingLiU" w:cs="PMingLiU"/>
                      <w:color w:val="333333"/>
                      <w:sz w:val="24"/>
                      <w:szCs w:val="24"/>
                      <w:lang w:eastAsia="zh-TW"/>
                    </w:rPr>
                    <w:t>唯有當公民社會與政黨同步前行，我們才能有一個既能凝聚市民廣泛參與，又有適當組織居中協調帶領的「達治」（</w:t>
                  </w:r>
                  <w:r w:rsidRPr="00767EA3">
                    <w:rPr>
                      <w:rFonts w:ascii="sөũ" w:eastAsia="Times New Roman" w:hAnsi="sөũ" w:cs="Times New Roman"/>
                      <w:color w:val="333333"/>
                      <w:sz w:val="24"/>
                      <w:szCs w:val="24"/>
                      <w:lang w:eastAsia="zh-TW"/>
                    </w:rPr>
                    <w:t>governable</w:t>
                  </w:r>
                  <w:r w:rsidRPr="00767EA3">
                    <w:rPr>
                      <w:rFonts w:ascii="PMingLiU" w:eastAsia="PMingLiU" w:hAnsi="PMingLiU" w:cs="PMingLiU"/>
                      <w:color w:val="333333"/>
                      <w:sz w:val="24"/>
                      <w:szCs w:val="24"/>
                      <w:lang w:eastAsia="zh-TW"/>
                    </w:rPr>
                    <w:t>）社會。</w:t>
                  </w:r>
                </w:p>
              </w:tc>
            </w:tr>
          </w:tbl>
          <w:p w:rsidR="00767EA3" w:rsidRPr="00767EA3" w:rsidRDefault="00767EA3" w:rsidP="00767EA3">
            <w:pPr>
              <w:spacing w:after="0" w:line="240" w:lineRule="auto"/>
              <w:rPr>
                <w:rFonts w:ascii="Times New Roman" w:eastAsia="Times New Roman" w:hAnsi="Times New Roman" w:cs="Times New Roman"/>
                <w:sz w:val="24"/>
                <w:szCs w:val="24"/>
                <w:lang w:eastAsia="zh-TW"/>
              </w:rPr>
            </w:pPr>
          </w:p>
        </w:tc>
      </w:tr>
    </w:tbl>
    <w:p w:rsidR="00767EA3" w:rsidRPr="00767EA3" w:rsidRDefault="00767EA3" w:rsidP="00767EA3">
      <w:pPr>
        <w:spacing w:before="100" w:beforeAutospacing="1" w:after="100" w:afterAutospacing="1" w:line="240" w:lineRule="auto"/>
        <w:jc w:val="center"/>
        <w:rPr>
          <w:rFonts w:ascii="Times New Roman" w:eastAsia="Times New Roman" w:hAnsi="Times New Roman" w:cs="Times New Roman"/>
          <w:sz w:val="24"/>
          <w:szCs w:val="24"/>
          <w:lang w:eastAsia="zh-TW"/>
        </w:rPr>
      </w:pPr>
      <w:hyperlink r:id="rId5" w:history="1">
        <w:r w:rsidRPr="00767EA3">
          <w:rPr>
            <w:rFonts w:ascii="PMingLiU" w:eastAsia="PMingLiU" w:hAnsi="PMingLiU" w:cs="PMingLiU" w:hint="eastAsia"/>
            <w:color w:val="008844"/>
            <w:sz w:val="24"/>
            <w:szCs w:val="24"/>
            <w:u w:val="single"/>
            <w:lang w:eastAsia="zh-TW"/>
          </w:rPr>
          <w:t>回上頁</w:t>
        </w:r>
      </w:hyperlink>
    </w:p>
    <w:p w:rsidR="000A4799" w:rsidRDefault="000A4799">
      <w:bookmarkStart w:id="0" w:name="_GoBack"/>
      <w:bookmarkEnd w:id="0"/>
    </w:p>
    <w:sectPr w:rsidR="000A4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A3"/>
    <w:rsid w:val="000A4799"/>
    <w:rsid w:val="0076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2859">
      <w:bodyDiv w:val="1"/>
      <w:marLeft w:val="75"/>
      <w:marRight w:val="75"/>
      <w:marTop w:val="75"/>
      <w:marBottom w:val="75"/>
      <w:divBdr>
        <w:top w:val="none" w:sz="0" w:space="0" w:color="auto"/>
        <w:left w:val="none" w:sz="0" w:space="0" w:color="auto"/>
        <w:bottom w:val="none" w:sz="0" w:space="0" w:color="auto"/>
        <w:right w:val="none" w:sz="0" w:space="0" w:color="auto"/>
      </w:divBdr>
      <w:divsChild>
        <w:div w:id="1006249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03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history.b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Company>City University of Hong Kong</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University of Hong Kong</dc:creator>
  <cp:lastModifiedBy>City University of Hong Kong</cp:lastModifiedBy>
  <cp:revision>1</cp:revision>
  <dcterms:created xsi:type="dcterms:W3CDTF">2012-10-25T09:04:00Z</dcterms:created>
  <dcterms:modified xsi:type="dcterms:W3CDTF">2012-10-25T09:05:00Z</dcterms:modified>
</cp:coreProperties>
</file>