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Borders>
          <w:top w:val="outset" w:sz="6" w:space="0" w:color="FFCC66"/>
          <w:left w:val="outset" w:sz="6" w:space="0" w:color="FFCC66"/>
          <w:bottom w:val="outset" w:sz="6" w:space="0" w:color="FFCC66"/>
          <w:right w:val="outset" w:sz="6" w:space="0" w:color="FFCC66"/>
        </w:tblBorders>
        <w:shd w:val="clear" w:color="auto" w:fill="FFCC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0"/>
      </w:tblGrid>
      <w:tr w:rsidR="00D321EF" w:rsidRPr="00D321EF" w:rsidTr="00D321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p w:rsidR="00D321EF" w:rsidRPr="00D321EF" w:rsidRDefault="00D321EF" w:rsidP="00D321EF">
            <w:pPr>
              <w:spacing w:after="0" w:line="240" w:lineRule="auto"/>
              <w:jc w:val="right"/>
              <w:rPr>
                <w:rFonts w:ascii="sөũ" w:eastAsia="Times New Roman" w:hAnsi="sөũ" w:cs="Times New Roman"/>
                <w:b/>
                <w:bCs/>
                <w:sz w:val="24"/>
                <w:szCs w:val="24"/>
                <w:lang w:eastAsia="zh-TW"/>
              </w:rPr>
            </w:pPr>
            <w:r w:rsidRPr="00D321EF">
              <w:rPr>
                <w:rFonts w:ascii="sөũ" w:eastAsia="Times New Roman" w:hAnsi="sөũ" w:cs="Times New Roman"/>
                <w:b/>
                <w:bCs/>
                <w:sz w:val="24"/>
                <w:szCs w:val="24"/>
                <w:lang w:eastAsia="zh-TW"/>
              </w:rPr>
              <w:t>2012-10-11</w:t>
            </w:r>
            <w:r w:rsidRPr="00D321EF">
              <w:rPr>
                <w:rFonts w:ascii="PMingLiU" w:eastAsia="PMingLiU" w:hAnsi="PMingLiU" w:cs="PMingLiU" w:hint="eastAsia"/>
                <w:b/>
                <w:bCs/>
                <w:sz w:val="24"/>
                <w:szCs w:val="24"/>
                <w:lang w:eastAsia="zh-TW"/>
              </w:rPr>
              <w:t>《明報》</w:t>
            </w:r>
            <w:r w:rsidRPr="00D321EF">
              <w:rPr>
                <w:rFonts w:ascii="sөũ" w:eastAsia="Times New Roman" w:hAnsi="sөũ" w:cs="Times New Roman"/>
                <w:b/>
                <w:bCs/>
                <w:sz w:val="24"/>
                <w:szCs w:val="24"/>
                <w:lang w:eastAsia="zh-TW"/>
              </w:rPr>
              <w:t>A40</w:t>
            </w:r>
          </w:p>
        </w:tc>
      </w:tr>
      <w:tr w:rsidR="00D321EF" w:rsidRPr="00D321EF" w:rsidTr="00D321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66"/>
              <w:left w:val="outset" w:sz="6" w:space="0" w:color="FFCC66"/>
              <w:bottom w:val="outset" w:sz="6" w:space="0" w:color="FFCC66"/>
              <w:right w:val="outset" w:sz="6" w:space="0" w:color="FFCC66"/>
            </w:tcBorders>
            <w:shd w:val="clear" w:color="auto" w:fill="FFCC66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120"/>
            </w:tblGrid>
            <w:tr w:rsidR="00D321EF" w:rsidRPr="00D321EF">
              <w:trPr>
                <w:tblCellSpacing w:w="0" w:type="dxa"/>
              </w:trPr>
              <w:tc>
                <w:tcPr>
                  <w:tcW w:w="0" w:type="auto"/>
                  <w:shd w:val="clear" w:color="auto" w:fill="FFFFEE"/>
                  <w:hideMark/>
                </w:tcPr>
                <w:p w:rsidR="00D321EF" w:rsidRPr="00D321EF" w:rsidRDefault="00D321EF" w:rsidP="00D321EF">
                  <w:pPr>
                    <w:spacing w:after="0" w:line="360" w:lineRule="auto"/>
                    <w:jc w:val="center"/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</w:pP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PMingLiU" w:eastAsia="PMingLiU" w:hAnsi="PMingLiU" w:cs="PMingLiU"/>
                      <w:b/>
                      <w:bCs/>
                      <w:color w:val="006600"/>
                      <w:sz w:val="36"/>
                      <w:szCs w:val="36"/>
                      <w:lang w:eastAsia="zh-TW"/>
                    </w:rPr>
                    <w:t>兩地合作矛盾激化源於本地分配失效</w:t>
                  </w:r>
                </w:p>
                <w:p w:rsidR="00D321EF" w:rsidRPr="00D321EF" w:rsidRDefault="00D321EF" w:rsidP="00D321E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sөũ" w:eastAsia="Times New Roman" w:hAnsi="sөũ" w:cs="Times New Roman"/>
                      <w:color w:val="336699"/>
                      <w:sz w:val="24"/>
                      <w:szCs w:val="24"/>
                      <w:lang w:eastAsia="zh-TW"/>
                    </w:rPr>
                  </w:pPr>
                  <w:r w:rsidRPr="00D321EF">
                    <w:rPr>
                      <w:rFonts w:ascii="PMingLiU" w:eastAsia="PMingLiU" w:hAnsi="PMingLiU" w:cs="PMingLiU"/>
                      <w:color w:val="336699"/>
                      <w:sz w:val="24"/>
                      <w:szCs w:val="24"/>
                      <w:lang w:eastAsia="zh-TW"/>
                    </w:rPr>
                    <w:t>香港城市大學公共及社會行政學系教授</w:t>
                  </w:r>
                  <w:r w:rsidRPr="00D321EF">
                    <w:rPr>
                      <w:rFonts w:ascii="sөũ" w:eastAsia="Times New Roman" w:hAnsi="sөũ" w:cs="Times New Roman"/>
                      <w:color w:val="336699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D321EF">
                    <w:rPr>
                      <w:rFonts w:ascii="PMingLiU" w:eastAsia="PMingLiU" w:hAnsi="PMingLiU" w:cs="PMingLiU"/>
                      <w:b/>
                      <w:bCs/>
                      <w:color w:val="336699"/>
                      <w:sz w:val="24"/>
                      <w:szCs w:val="24"/>
                      <w:lang w:eastAsia="zh-TW"/>
                    </w:rPr>
                    <w:t>李芝蘭</w:t>
                  </w:r>
                  <w:r w:rsidRPr="00D321EF">
                    <w:rPr>
                      <w:rFonts w:ascii="sөũ" w:eastAsia="Times New Roman" w:hAnsi="sөũ" w:cs="Times New Roman"/>
                      <w:color w:val="336699"/>
                      <w:sz w:val="24"/>
                      <w:szCs w:val="24"/>
                      <w:lang w:eastAsia="zh-TW"/>
                    </w:rPr>
                    <w:t xml:space="preserve"> </w:t>
                  </w:r>
                  <w:bookmarkStart w:id="0" w:name="_GoBack"/>
                  <w:bookmarkEnd w:id="0"/>
                </w:p>
                <w:p w:rsidR="00D321EF" w:rsidRPr="00D321EF" w:rsidRDefault="00D321EF" w:rsidP="00D321EF">
                  <w:pPr>
                    <w:spacing w:after="100" w:line="360" w:lineRule="auto"/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</w:pP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梁振英上任不足百日，已先後叫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停雙非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孕婦來港產子、暫緩自由行旅客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一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簽多行，以及嚴打北區水貨客，他更多次在傳媒面前表明心迹，一旦遇到中港矛盾，必定會「企喺香港人一邊」。可是，反對香港與內地合作的聲音，不但沒有消弭，反而愈來愈有市場。一些「梁粉」因此紛紛在報章撰文，指這是一批反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中亂港分子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意圖「去中國化」、乃至尋求「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港獨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」的結果。筆者認為，這種上綱上線的指控，存在嚴重誤判。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近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10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多年來，因內地經濟火速崛起，香港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GDP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水漲船高，但同時亦出現了嚴重的分配不均。前行政長官曾蔭權在任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7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年以來，一直主張透過「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滴流效應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」（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>trickle-</w:t>
                  </w:r>
                  <w:proofErr w:type="spellStart"/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>downeffect</w:t>
                  </w:r>
                  <w:proofErr w:type="spell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），便能使香港各階層共用經濟成果，依照這個源於新古典經濟學派的理論，香港政府要做的便只是吸引更多內地人來港投資、消費、多花錢，以及鼓勵本港工商及專業界別前往內地開拓商機，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把餅做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大。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然而實踐下來，如今在不少香港人心目中，與內地合作卻只意味了高樓價、高租金、高通脹，普羅市民的收入多年來原地踏步；香港企業在內地開展各項投資，固然為一批企業所有者和高級管理層帶來更高利潤和收入，但隨着這批企業中低層僱員的當地化（即毋須再由港人北上，而直接在當地招聘），港企內進如何再能夠為香港新一代擴闊出路，即是一個急待回答的問號。曾蔭權本人亦在今年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6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月任內最後一次立法會答問大會上首次承認，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滴流效應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未有發揮預期效果。至於梁振英，在競選之時大聲疾呼要改變這種格局，但百天下來，小市民感受到的卻剛好相反，被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謔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稱為梁振英不信任度指數的「中原城市領先指數」已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一再破頂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。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lastRenderedPageBreak/>
                    <w:t>要回應市民對兩地進一步合作的質疑，政府要做的是對症下藥，審視各個政策領域，務求令本港各個階層都可在兩地合作中提升生活質素。近期透過行政手段，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限制雙非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、水貨客，無疑可收一時之效，但其引發的負面效應，包括內地網民對香港愈益負面的看法，我們又豈可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不察呢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？作為政策制訂者，政府理應更系統地分析和開誠布公，清晰地告訴廣大市民，政府所推行的合作政策，是如何可以令多數人受益，而非只是一群旁觀者甚至受損。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PMingLiU" w:eastAsia="PMingLiU" w:hAnsi="PMingLiU" w:cs="PMingLiU"/>
                      <w:b/>
                      <w:bCs/>
                      <w:color w:val="333333"/>
                      <w:sz w:val="24"/>
                      <w:szCs w:val="24"/>
                      <w:lang w:eastAsia="zh-TW"/>
                    </w:rPr>
                    <w:t>將反對者都打成敵人不利理性討論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以近期熱烘烘的新界東北新發展區爭議為例，政府一直向市民推銷，這是一個解決香港住屋問題的大計。但根據政府的最後階段諮詢檔，整個發展區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的收地開支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預計超過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400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億，涉及土地面積達到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787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公頃，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>2022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年才有首批單位落成。教人驚訝的是，整個發展區內擬建的公營房屋單位數目卻只有區區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2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萬多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個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，以現在政府每年興建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1.5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萬個公屋的目標計，這個耗資龐大、籌備經年的發展區，只能應付一年多的建屋需要，更遑論安置公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屋輪候冊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上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18 </w:t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萬個申請個案！政府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的說詞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，焉能令人信服呢？事實上，若政府認為這個規劃其實包括要預留更多用地以發展新的商業中心，創造更多本地的就業機會，哪怕是售賣日用品給內地遊客的「橋頭經濟」，特區政府便應盡快詳細說明細節，令市民明白這是一個機遇而非威脅，進而回應市民提出的生態、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鄉郊發展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的議題，這樣應能較好的帶領社會思考如何面對香港發展轉型的挑戰，而不是空洞</w:t>
                  </w:r>
                  <w:proofErr w:type="gramStart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的單叫市民</w:t>
                  </w:r>
                  <w:proofErr w:type="gramEnd"/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對政府投以信任一票。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br/>
                  </w:r>
                  <w:r w:rsidRPr="00D321EF">
                    <w:rPr>
                      <w:rFonts w:ascii="PMingLiU" w:eastAsia="PMingLiU" w:hAnsi="PMingLiU" w:cs="PMingLiU"/>
                      <w:color w:val="333333"/>
                      <w:sz w:val="24"/>
                      <w:szCs w:val="24"/>
                      <w:lang w:eastAsia="zh-TW"/>
                    </w:rPr>
                    <w:t>筆者認為，大多數港人是明白香港與內地高度依存這不爭的歷史事實，香港目前出現強烈的反對兩地合作的聲音，乃是過去十多年來社會分配失效累積下來的後果，疏導必須從源頭做起，若一味上綱上線，將反對者都打成敵人，不利理性討論，更不利實現特首提倡的大和解。</w:t>
                  </w:r>
                  <w:r w:rsidRPr="00D321EF">
                    <w:rPr>
                      <w:rFonts w:ascii="sөũ" w:eastAsia="Times New Roman" w:hAnsi="sөũ" w:cs="Times New Roman"/>
                      <w:color w:val="333333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</w:tc>
            </w:tr>
          </w:tbl>
          <w:p w:rsidR="00D321EF" w:rsidRPr="00D321EF" w:rsidRDefault="00D321EF" w:rsidP="00D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FB79D3" w:rsidRDefault="00FB79D3"/>
    <w:sectPr w:rsidR="00FB7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EF"/>
    <w:rsid w:val="00D321EF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292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>City University of Hong Kong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University of Hong Kong</dc:creator>
  <cp:lastModifiedBy>City University of Hong Kong</cp:lastModifiedBy>
  <cp:revision>1</cp:revision>
  <dcterms:created xsi:type="dcterms:W3CDTF">2012-10-25T08:49:00Z</dcterms:created>
  <dcterms:modified xsi:type="dcterms:W3CDTF">2012-10-25T08:50:00Z</dcterms:modified>
</cp:coreProperties>
</file>